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36"/>
          <w:szCs w:val="36"/>
        </w:rPr>
      </w:pPr>
      <w:r>
        <w:rPr>
          <w:rFonts w:hint="eastAsia" w:cs="宋体"/>
          <w:b/>
          <w:bCs/>
          <w:color w:val="000000"/>
          <w:sz w:val="36"/>
          <w:szCs w:val="36"/>
        </w:rPr>
        <w:t>徐州医科大学 附 属 第 三 医 院</w:t>
      </w:r>
    </w:p>
    <w:p>
      <w:pPr>
        <w:jc w:val="center"/>
        <w:rPr>
          <w:rFonts w:cs="宋体"/>
          <w:b/>
          <w:bCs/>
          <w:color w:val="FF0000"/>
          <w:sz w:val="28"/>
          <w:szCs w:val="28"/>
        </w:rPr>
      </w:pPr>
    </w:p>
    <w:p>
      <w:pPr>
        <w:jc w:val="center"/>
        <w:rPr>
          <w:b/>
          <w:bCs/>
          <w:color w:val="000000"/>
          <w:sz w:val="32"/>
          <w:szCs w:val="32"/>
        </w:rPr>
      </w:pPr>
      <w:r>
        <w:rPr>
          <w:rFonts w:hint="eastAsia" w:cs="宋体"/>
          <w:b/>
          <w:bCs/>
          <w:color w:val="FF0000"/>
          <w:sz w:val="32"/>
          <w:szCs w:val="32"/>
        </w:rPr>
        <w:t>【</w:t>
      </w:r>
      <w:r>
        <w:rPr>
          <w:rFonts w:hint="eastAsia" w:cs="宋体"/>
          <w:b/>
          <w:bCs/>
          <w:color w:val="FF0000"/>
          <w:sz w:val="32"/>
          <w:szCs w:val="32"/>
          <w:lang w:eastAsia="zh-CN"/>
        </w:rPr>
        <w:t>电磁式体外冲击波碎石机</w:t>
      </w:r>
      <w:r>
        <w:rPr>
          <w:rFonts w:hint="eastAsia" w:cs="宋体"/>
          <w:b/>
          <w:bCs/>
          <w:color w:val="FF0000"/>
          <w:sz w:val="32"/>
          <w:szCs w:val="32"/>
        </w:rPr>
        <w:t>】</w:t>
      </w:r>
    </w:p>
    <w:p>
      <w:pPr>
        <w:jc w:val="center"/>
        <w:rPr>
          <w:rFonts w:eastAsia="黑体" w:cs="黑体"/>
          <w:b/>
          <w:bCs/>
          <w:color w:val="000000"/>
          <w:sz w:val="98"/>
          <w:szCs w:val="98"/>
        </w:rPr>
      </w:pPr>
    </w:p>
    <w:p>
      <w:pPr>
        <w:jc w:val="center"/>
        <w:rPr>
          <w:rFonts w:eastAsia="黑体" w:cs="黑体"/>
          <w:b/>
          <w:bCs/>
          <w:color w:val="000000"/>
          <w:sz w:val="98"/>
          <w:szCs w:val="98"/>
        </w:rPr>
      </w:pPr>
      <w:r>
        <w:rPr>
          <w:rFonts w:hint="eastAsia" w:eastAsia="黑体" w:cs="黑体"/>
          <w:b/>
          <w:bCs/>
          <w:color w:val="000000"/>
          <w:sz w:val="98"/>
          <w:szCs w:val="98"/>
        </w:rPr>
        <w:t>招</w:t>
      </w:r>
    </w:p>
    <w:p>
      <w:pPr>
        <w:jc w:val="center"/>
        <w:rPr>
          <w:rFonts w:eastAsia="黑体"/>
          <w:b/>
          <w:bCs/>
          <w:color w:val="000000"/>
          <w:sz w:val="98"/>
          <w:szCs w:val="98"/>
        </w:rPr>
      </w:pPr>
      <w:r>
        <w:rPr>
          <w:rFonts w:hint="eastAsia" w:eastAsia="黑体" w:cs="黑体"/>
          <w:b/>
          <w:bCs/>
          <w:color w:val="000000"/>
          <w:sz w:val="98"/>
          <w:szCs w:val="98"/>
        </w:rPr>
        <w:t>标</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b/>
          <w:bCs/>
          <w:color w:val="000000"/>
          <w:sz w:val="30"/>
          <w:szCs w:val="30"/>
        </w:rPr>
      </w:pPr>
      <w:r>
        <w:rPr>
          <w:rFonts w:hint="eastAsia" w:cs="宋体"/>
          <w:b/>
          <w:bCs/>
          <w:color w:val="000000"/>
          <w:sz w:val="30"/>
          <w:szCs w:val="30"/>
        </w:rPr>
        <w:t>徐州医科大学附属第三医院【国有资产管理处】编制</w:t>
      </w:r>
    </w:p>
    <w:p>
      <w:pPr>
        <w:jc w:val="center"/>
        <w:rPr>
          <w:rFonts w:eastAsia="黑体"/>
          <w:color w:val="000000"/>
          <w:sz w:val="44"/>
          <w:szCs w:val="44"/>
        </w:rPr>
      </w:pPr>
      <w:r>
        <w:rPr>
          <w:b/>
          <w:bCs/>
          <w:color w:val="000000"/>
          <w:sz w:val="44"/>
          <w:szCs w:val="44"/>
        </w:rPr>
        <w:br w:type="page"/>
      </w:r>
      <w:r>
        <w:rPr>
          <w:rFonts w:hint="eastAsia" w:eastAsia="黑体" w:cs="黑体"/>
          <w:color w:val="000000"/>
          <w:sz w:val="44"/>
          <w:szCs w:val="44"/>
        </w:rPr>
        <w:t>招标文件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本项目采取招标形式进行采购。本着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的原则，择优选取供应商，特制定本招标文件，现予以发布。</w:t>
      </w:r>
    </w:p>
    <w:p>
      <w:pPr>
        <w:jc w:val="center"/>
        <w:rPr>
          <w:b/>
          <w:bCs/>
          <w:color w:val="000000"/>
          <w:sz w:val="30"/>
          <w:szCs w:val="30"/>
        </w:rPr>
      </w:pPr>
      <w:r>
        <w:rPr>
          <w:rFonts w:hint="eastAsia" w:hAnsi="宋体" w:cs="宋体"/>
          <w:b/>
          <w:bCs/>
          <w:color w:val="000000"/>
          <w:sz w:val="30"/>
          <w:szCs w:val="30"/>
        </w:rPr>
        <w:t>第一节：投标须知</w:t>
      </w:r>
    </w:p>
    <w:p>
      <w:pPr>
        <w:pStyle w:val="8"/>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p>
    <w:p>
      <w:pPr>
        <w:ind w:firstLine="420" w:firstLineChars="200"/>
        <w:rPr>
          <w:rFonts w:hint="eastAsia" w:hAnsi="宋体" w:eastAsia="宋体" w:cs="宋体"/>
          <w:color w:val="000000"/>
          <w:lang w:val="en-US" w:eastAsia="zh-CN"/>
        </w:rPr>
      </w:pPr>
      <w:r>
        <w:rPr>
          <w:color w:val="000000"/>
        </w:rPr>
        <w:t>1</w:t>
      </w:r>
      <w:r>
        <w:rPr>
          <w:rFonts w:hint="eastAsia" w:hAnsi="宋体" w:cs="宋体"/>
          <w:color w:val="000000"/>
        </w:rPr>
        <w:t>）项目名称：</w:t>
      </w:r>
      <w:r>
        <w:rPr>
          <w:rFonts w:hint="eastAsia" w:hAnsi="宋体" w:cs="宋体"/>
          <w:color w:val="000000"/>
          <w:lang w:eastAsia="zh-CN"/>
        </w:rPr>
        <w:t>体外冲击波碎石机</w:t>
      </w:r>
    </w:p>
    <w:p>
      <w:pPr>
        <w:ind w:firstLine="420" w:firstLineChars="200"/>
        <w:rPr>
          <w:rFonts w:hint="default" w:hAnsi="宋体" w:eastAsia="宋体" w:cs="宋体"/>
          <w:color w:val="FF0000"/>
          <w:lang w:val="en-US" w:eastAsia="zh-CN"/>
        </w:rPr>
      </w:pPr>
      <w:r>
        <w:rPr>
          <w:color w:val="000000"/>
        </w:rPr>
        <w:t>2</w:t>
      </w:r>
      <w:r>
        <w:rPr>
          <w:rFonts w:hint="eastAsia" w:hAnsi="宋体" w:cs="宋体"/>
          <w:color w:val="000000"/>
        </w:rPr>
        <w:t>）项目编号：</w:t>
      </w:r>
      <w:r>
        <w:rPr>
          <w:rFonts w:hint="eastAsia" w:hAnsi="宋体" w:cs="宋体"/>
          <w:color w:val="FF0000"/>
        </w:rPr>
        <w:t>XYFSY-2021-0</w:t>
      </w:r>
      <w:r>
        <w:rPr>
          <w:rFonts w:hint="eastAsia" w:hAnsi="宋体" w:cs="宋体"/>
          <w:color w:val="FF0000"/>
          <w:lang w:val="en-US" w:eastAsia="zh-CN"/>
        </w:rPr>
        <w:t>21</w:t>
      </w:r>
    </w:p>
    <w:p>
      <w:pPr>
        <w:ind w:firstLine="420" w:firstLineChars="200"/>
        <w:rPr>
          <w:b/>
          <w:bCs/>
          <w:color w:val="000000"/>
        </w:rPr>
      </w:pPr>
      <w:r>
        <w:rPr>
          <w:rFonts w:hint="eastAsia" w:hAnsi="宋体" w:cs="宋体"/>
          <w:color w:val="000000"/>
        </w:rPr>
        <w:t>3）项目地点：徐州医科大学附属第三医院</w:t>
      </w:r>
    </w:p>
    <w:p>
      <w:pPr>
        <w:pStyle w:val="8"/>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hint="eastAsia" w:ascii="Times New Roman" w:hAnsi="宋体"/>
          <w:b/>
          <w:bCs/>
          <w:color w:val="000000"/>
        </w:rPr>
        <w:t>、招标内容</w:t>
      </w:r>
    </w:p>
    <w:p>
      <w:pPr>
        <w:pStyle w:val="14"/>
        <w:widowControl w:val="0"/>
        <w:spacing w:before="0" w:beforeAutospacing="0" w:after="0" w:afterAutospacing="0" w:line="400" w:lineRule="exact"/>
        <w:jc w:val="both"/>
        <w:rPr>
          <w:color w:val="000000"/>
        </w:rPr>
      </w:pPr>
      <w:r>
        <w:rPr>
          <w:rFonts w:hint="eastAsia" w:cs="宋体"/>
          <w:color w:val="000000"/>
          <w:lang w:eastAsia="zh-CN"/>
        </w:rPr>
        <w:t>体外冲击波碎石机</w:t>
      </w:r>
      <w:r>
        <w:rPr>
          <w:rFonts w:hint="eastAsia" w:cs="宋体"/>
          <w:color w:val="000000"/>
          <w:lang w:val="en-US" w:eastAsia="zh-CN"/>
        </w:rPr>
        <w:t xml:space="preserve"> 1台</w:t>
      </w:r>
      <w:r>
        <w:rPr>
          <w:rFonts w:hint="eastAsia"/>
          <w:color w:val="000000"/>
        </w:rPr>
        <w:t xml:space="preserve"> </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ind w:left="368" w:leftChars="175" w:firstLine="371" w:firstLineChars="177"/>
        <w:rPr>
          <w:rFonts w:ascii="宋体" w:hAnsi="宋体"/>
        </w:rPr>
      </w:pPr>
      <w:r>
        <w:rPr>
          <w:rFonts w:hint="eastAsia" w:ascii="宋体" w:hAnsi="宋体"/>
        </w:rPr>
        <w:t>1）.具有独立承担民事责任的能力；</w:t>
      </w:r>
    </w:p>
    <w:p>
      <w:pPr>
        <w:ind w:left="368" w:leftChars="175" w:firstLine="371" w:firstLineChars="177"/>
        <w:rPr>
          <w:rFonts w:ascii="宋体" w:hAnsi="宋体"/>
        </w:rPr>
      </w:pPr>
      <w:r>
        <w:rPr>
          <w:rFonts w:hint="eastAsia" w:ascii="宋体" w:hAnsi="宋体"/>
        </w:rPr>
        <w:t>2）.具有良好的商业信誉和健全的财务会计制度；</w:t>
      </w:r>
    </w:p>
    <w:p>
      <w:pPr>
        <w:ind w:left="368" w:leftChars="175" w:firstLine="371" w:firstLineChars="177"/>
        <w:rPr>
          <w:rFonts w:ascii="宋体" w:hAnsi="宋体"/>
        </w:rPr>
      </w:pPr>
      <w:r>
        <w:rPr>
          <w:rFonts w:hint="eastAsia" w:ascii="宋体" w:hAnsi="宋体"/>
        </w:rPr>
        <w:t>3）.具有履行合同所必需的设备和专业技术能力；</w:t>
      </w:r>
    </w:p>
    <w:p>
      <w:pPr>
        <w:ind w:left="368" w:leftChars="175" w:firstLine="371" w:firstLineChars="177"/>
        <w:rPr>
          <w:rFonts w:ascii="宋体" w:hAnsi="宋体"/>
        </w:rPr>
      </w:pPr>
      <w:r>
        <w:rPr>
          <w:rFonts w:hint="eastAsia" w:ascii="宋体" w:hAnsi="宋体"/>
        </w:rPr>
        <w:t>4）.有依法缴纳税收和社会保障资金的良好记录；</w:t>
      </w:r>
    </w:p>
    <w:p>
      <w:pPr>
        <w:ind w:left="368" w:leftChars="175" w:firstLine="371" w:firstLineChars="177"/>
        <w:rPr>
          <w:rFonts w:ascii="宋体" w:hAnsi="宋体"/>
        </w:rPr>
      </w:pPr>
      <w:r>
        <w:rPr>
          <w:rFonts w:hint="eastAsia" w:ascii="宋体" w:hAnsi="宋体"/>
        </w:rPr>
        <w:t>5）.参加招标采购活动前三年内，在经营活动中没有重大违法记录；</w:t>
      </w:r>
    </w:p>
    <w:p>
      <w:pPr>
        <w:ind w:left="368" w:leftChars="175" w:firstLine="371" w:firstLineChars="177"/>
      </w:pPr>
      <w:r>
        <w:rPr>
          <w:rFonts w:hint="eastAsia" w:ascii="宋体" w:hAnsi="宋体"/>
        </w:rPr>
        <w:t>6）.具有医疗器械经营（备案）或生产许可资格。</w:t>
      </w:r>
    </w:p>
    <w:p>
      <w:pPr>
        <w:pStyle w:val="14"/>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费用</w:t>
      </w:r>
    </w:p>
    <w:p>
      <w:pPr>
        <w:pStyle w:val="14"/>
        <w:widowControl w:val="0"/>
        <w:spacing w:before="0" w:beforeAutospacing="0" w:after="0" w:afterAutospacing="0" w:line="276" w:lineRule="auto"/>
        <w:ind w:left="420" w:hanging="420" w:hangingChars="200"/>
        <w:rPr>
          <w:rFonts w:ascii="Times New Roman" w:hAnsi="Times New Roman" w:cs="Times New Roman"/>
          <w:color w:val="000000"/>
        </w:rPr>
      </w:pPr>
      <w:r>
        <w:rPr>
          <w:rFonts w:ascii="Times New Roman" w:eastAsia="Times New Roman" w:cs="Times New Roman"/>
          <w:color w:val="000000"/>
          <w:sz w:val="21"/>
          <w:szCs w:val="21"/>
        </w:rPr>
        <w:t>供应商为</w:t>
      </w:r>
      <w:r>
        <w:rPr>
          <w:rFonts w:hint="eastAsia" w:ascii="Times New Roman"/>
          <w:color w:val="000000"/>
          <w:sz w:val="21"/>
          <w:szCs w:val="21"/>
        </w:rPr>
        <w:t>招标</w:t>
      </w:r>
      <w:r>
        <w:rPr>
          <w:rFonts w:ascii="Times New Roman" w:eastAsia="Times New Roman" w:cs="Times New Roman"/>
          <w:color w:val="000000"/>
          <w:sz w:val="21"/>
          <w:szCs w:val="21"/>
        </w:rPr>
        <w:t>所发生的一切费用均由供应商承担。</w:t>
      </w:r>
    </w:p>
    <w:p>
      <w:pPr>
        <w:pStyle w:val="14"/>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文件</w:t>
      </w:r>
    </w:p>
    <w:p>
      <w:pPr>
        <w:pStyle w:val="14"/>
        <w:widowControl w:val="0"/>
        <w:spacing w:before="0" w:beforeAutospacing="0" w:after="0" w:afterAutospacing="0" w:line="276" w:lineRule="auto"/>
        <w:ind w:left="420" w:hanging="420" w:hangingChars="20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color w:val="000000"/>
          <w:sz w:val="21"/>
          <w:szCs w:val="21"/>
        </w:rPr>
        <w:t>招标</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color w:val="000000"/>
          <w:sz w:val="21"/>
          <w:szCs w:val="21"/>
        </w:rPr>
        <w:t>招标</w:t>
      </w:r>
      <w:r>
        <w:rPr>
          <w:rFonts w:ascii="Times New Roman" w:eastAsia="Times New Roman" w:cs="Times New Roman"/>
          <w:color w:val="000000"/>
          <w:sz w:val="21"/>
          <w:szCs w:val="21"/>
        </w:rPr>
        <w:t>程序和合同条款。</w:t>
      </w:r>
      <w:r>
        <w:rPr>
          <w:rFonts w:hint="eastAsia" w:ascii="Times New Roman"/>
          <w:color w:val="000000"/>
          <w:sz w:val="21"/>
          <w:szCs w:val="21"/>
        </w:rPr>
        <w:t>招标</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4"/>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4"/>
        <w:widowControl w:val="0"/>
        <w:spacing w:before="0" w:beforeAutospacing="0" w:after="0" w:afterAutospacing="0" w:line="400" w:lineRule="exact"/>
        <w:jc w:val="both"/>
        <w:rPr>
          <w:rFonts w:ascii="Times New Roman" w:hAnsi="Times New Roman" w:cs="Times New Roman"/>
          <w:color w:val="000000" w:themeColor="text1"/>
        </w:rPr>
      </w:pPr>
      <w:r>
        <w:rPr>
          <w:rFonts w:hint="eastAsia" w:ascii="Times New Roman" w:hAnsi="Times New Roman" w:cs="Times New Roman"/>
          <w:color w:val="FF0000"/>
          <w:sz w:val="21"/>
          <w:szCs w:val="21"/>
        </w:rPr>
        <w:t xml:space="preserve">      </w:t>
      </w:r>
      <w:r>
        <w:rPr>
          <w:rFonts w:ascii="Times New Roman" w:hAnsi="Times New Roman" w:cs="Times New Roman"/>
          <w:color w:val="000000" w:themeColor="text1"/>
          <w:sz w:val="21"/>
          <w:szCs w:val="21"/>
        </w:rPr>
        <w:t xml:space="preserve"> c</w:t>
      </w:r>
      <w:r>
        <w:rPr>
          <w:rFonts w:ascii="Times New Roman" w:eastAsia="Times New Roman" w:cs="Times New Roman"/>
          <w:color w:val="000000" w:themeColor="text1"/>
          <w:sz w:val="21"/>
          <w:szCs w:val="21"/>
        </w:rPr>
        <w:t>）合同主要条款</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color w:val="000000"/>
          <w:sz w:val="21"/>
          <w:szCs w:val="21"/>
        </w:rPr>
        <w:t>招标</w:t>
      </w:r>
      <w:r>
        <w:rPr>
          <w:rFonts w:ascii="Times New Roman" w:eastAsia="Times New Roman" w:cs="Times New Roman"/>
          <w:color w:val="000000"/>
          <w:sz w:val="21"/>
          <w:szCs w:val="21"/>
        </w:rPr>
        <w:t>文件中所有须知、格式、条款和要求。供应商按</w:t>
      </w:r>
      <w:r>
        <w:rPr>
          <w:rFonts w:hint="eastAsia" w:ascii="Times New Roman"/>
          <w:color w:val="000000"/>
          <w:sz w:val="21"/>
          <w:szCs w:val="21"/>
        </w:rPr>
        <w:t>招标</w:t>
      </w:r>
      <w:r>
        <w:rPr>
          <w:rFonts w:ascii="Times New Roman" w:eastAsia="Times New Roman" w:cs="Times New Roman"/>
          <w:color w:val="000000"/>
          <w:sz w:val="21"/>
          <w:szCs w:val="21"/>
        </w:rPr>
        <w:t>文件要求提交全部资料或</w:t>
      </w:r>
      <w:r>
        <w:rPr>
          <w:rFonts w:hint="eastAsia" w:ascii="Times New Roman"/>
          <w:color w:val="000000"/>
          <w:sz w:val="21"/>
          <w:szCs w:val="21"/>
        </w:rPr>
        <w:t>招标</w:t>
      </w:r>
      <w:r>
        <w:rPr>
          <w:rFonts w:ascii="Times New Roman" w:eastAsia="Times New Roman" w:cs="Times New Roman"/>
          <w:color w:val="000000"/>
          <w:sz w:val="21"/>
          <w:szCs w:val="21"/>
        </w:rPr>
        <w:t>响应文件，若提交的资料未对</w:t>
      </w:r>
      <w:r>
        <w:rPr>
          <w:rFonts w:hint="eastAsia" w:ascii="Times New Roman"/>
          <w:color w:val="000000"/>
          <w:sz w:val="21"/>
          <w:szCs w:val="21"/>
        </w:rPr>
        <w:t>招标</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color w:val="000000"/>
          <w:sz w:val="21"/>
          <w:szCs w:val="21"/>
        </w:rPr>
        <w:t>招标</w:t>
      </w:r>
      <w:r>
        <w:rPr>
          <w:rFonts w:ascii="Times New Roman" w:eastAsia="Times New Roman" w:cs="Times New Roman"/>
          <w:color w:val="000000"/>
          <w:sz w:val="21"/>
          <w:szCs w:val="21"/>
        </w:rPr>
        <w:t>响应文件被拒绝。</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文件的澄清和修改</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color w:val="000000"/>
          <w:sz w:val="21"/>
          <w:szCs w:val="21"/>
        </w:rPr>
        <w:t>招标</w:t>
      </w:r>
      <w:r>
        <w:rPr>
          <w:rFonts w:ascii="Times New Roman" w:eastAsia="Times New Roman" w:cs="Times New Roman"/>
          <w:color w:val="000000"/>
          <w:sz w:val="21"/>
          <w:szCs w:val="21"/>
        </w:rPr>
        <w:t>文件提出澄清的供应商，应在投标截止日期前</w:t>
      </w:r>
      <w:r>
        <w:rPr>
          <w:rFonts w:hint="eastAsia" w:ascii="Times New Roman" w:hAnsi="Times New Roman" w:cs="Times New Roman"/>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hint="eastAsia" w:ascii="Times New Roman" w:hAnsi="Times New Roman" w:cs="Times New Roman"/>
          <w:color w:val="000000"/>
          <w:sz w:val="21"/>
          <w:szCs w:val="21"/>
          <w:u w:val="single"/>
        </w:rPr>
        <w:t>5</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rPr>
        <w:t>书面</w:t>
      </w:r>
      <w:r>
        <w:rPr>
          <w:rFonts w:ascii="Times New Roman" w:eastAsia="Times New Roman" w:cs="Times New Roman"/>
          <w:color w:val="000000"/>
          <w:sz w:val="21"/>
          <w:szCs w:val="21"/>
        </w:rPr>
        <w:t>的形式予以答复。</w:t>
      </w:r>
    </w:p>
    <w:p>
      <w:pPr>
        <w:pStyle w:val="14"/>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hint="eastAsia" w:ascii="Times New Roman" w:hAnsi="Times New Roman" w:cs="Times New Roman"/>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hint="eastAsia" w:ascii="Times New Roman"/>
          <w:color w:val="000000"/>
          <w:sz w:val="21"/>
          <w:szCs w:val="21"/>
        </w:rPr>
        <w:t>招标</w:t>
      </w:r>
      <w:r>
        <w:rPr>
          <w:rFonts w:ascii="Times New Roman" w:eastAsia="Times New Roman" w:cs="Times New Roman"/>
          <w:color w:val="000000"/>
          <w:sz w:val="21"/>
          <w:szCs w:val="21"/>
        </w:rPr>
        <w:t>文件进行修改。</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招标</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rPr>
        <w:t>书面</w:t>
      </w:r>
      <w:r>
        <w:rPr>
          <w:rFonts w:ascii="Times New Roman" w:eastAsia="Times New Roman" w:cs="Times New Roman"/>
          <w:color w:val="000000"/>
          <w:sz w:val="21"/>
          <w:szCs w:val="21"/>
        </w:rPr>
        <w:t>的形式确认己经收到该修改。</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color w:val="000000"/>
          <w:sz w:val="21"/>
          <w:szCs w:val="21"/>
        </w:rPr>
        <w:t>招标</w:t>
      </w:r>
      <w:r>
        <w:rPr>
          <w:rFonts w:ascii="Times New Roman" w:eastAsia="Times New Roman" w:cs="Times New Roman"/>
          <w:color w:val="000000"/>
          <w:sz w:val="21"/>
          <w:szCs w:val="21"/>
        </w:rPr>
        <w:t>响应文件时有合理的时间考虑</w:t>
      </w:r>
      <w:r>
        <w:rPr>
          <w:rFonts w:hint="eastAsia" w:ascii="Times New Roman"/>
          <w:color w:val="000000"/>
          <w:sz w:val="21"/>
          <w:szCs w:val="21"/>
        </w:rPr>
        <w:t>招标</w:t>
      </w:r>
      <w:r>
        <w:rPr>
          <w:rFonts w:ascii="Times New Roman" w:eastAsia="Times New Roman" w:cs="Times New Roman"/>
          <w:color w:val="000000"/>
          <w:sz w:val="21"/>
          <w:szCs w:val="21"/>
        </w:rPr>
        <w:t>文件的修改，采购人可以根据实际情况酌情推迟投标截止日期。</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响应文件的组成</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hint="eastAsia" w:ascii="Times New Roman"/>
          <w:color w:val="000000"/>
          <w:sz w:val="21"/>
          <w:szCs w:val="21"/>
        </w:rPr>
        <w:t>招标</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hint="eastAsia" w:ascii="Times New Roman"/>
          <w:color w:val="000000"/>
          <w:sz w:val="21"/>
          <w:szCs w:val="21"/>
        </w:rPr>
        <w:t>提供</w:t>
      </w:r>
      <w:r>
        <w:rPr>
          <w:rFonts w:hint="eastAsia" w:ascii="Times New Roman"/>
          <w:color w:val="000000"/>
          <w:kern w:val="2"/>
          <w:sz w:val="21"/>
          <w:szCs w:val="21"/>
        </w:rPr>
        <w:t>生产厂商或国内一级及以上代理经销商授权</w:t>
      </w:r>
      <w:r>
        <w:rPr>
          <w:rFonts w:ascii="Times New Roman" w:eastAsia="Times New Roman" w:cs="Times New Roman"/>
          <w:color w:val="000000"/>
          <w:sz w:val="21"/>
          <w:szCs w:val="21"/>
        </w:rPr>
        <w:t>。</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）供应商法人授权委托书及供应商近三个月缴纳的社会保险证明。</w:t>
      </w:r>
    </w:p>
    <w:p>
      <w:pPr>
        <w:pStyle w:val="14"/>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hint="eastAsia" w:ascii="Times New Roman" w:hAnsi="Times New Roman"/>
          <w:b/>
          <w:bCs/>
          <w:color w:val="000000"/>
          <w:sz w:val="21"/>
          <w:szCs w:val="21"/>
        </w:rPr>
        <w:t>：</w:t>
      </w:r>
    </w:p>
    <w:p>
      <w:pPr>
        <w:pStyle w:val="14"/>
        <w:widowControl w:val="0"/>
        <w:spacing w:before="0" w:beforeAutospacing="0" w:after="0" w:afterAutospacing="0" w:line="400" w:lineRule="exact"/>
        <w:ind w:left="738" w:hanging="738" w:hangingChars="35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投标时一次性报价。总价、每个单项均需单独报价，若总价和单价不一致时以单价为准；</w:t>
      </w:r>
    </w:p>
    <w:p>
      <w:pPr>
        <w:pStyle w:val="14"/>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所有投标均以人民币“元”为计算单位；</w:t>
      </w:r>
    </w:p>
    <w:p>
      <w:pPr>
        <w:pStyle w:val="14"/>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spacing w:line="400" w:lineRule="exact"/>
        <w:rPr>
          <w:color w:val="000000"/>
        </w:rPr>
      </w:pPr>
      <w:r>
        <w:rPr>
          <w:rFonts w:hAnsi="宋体" w:eastAsia="Times New Roman"/>
          <w:color w:val="000000"/>
          <w:kern w:val="0"/>
        </w:rPr>
        <w:t xml:space="preserve"> </w:t>
      </w:r>
      <w:r>
        <w:rPr>
          <w:rFonts w:hint="eastAsia" w:hAnsi="宋体" w:eastAsiaTheme="minorEastAsia"/>
          <w:color w:val="000000"/>
          <w:kern w:val="0"/>
        </w:rPr>
        <w:t xml:space="preserve">   </w:t>
      </w:r>
      <w:r>
        <w:rPr>
          <w:rFonts w:hAnsi="宋体" w:eastAsia="Times New Roman"/>
          <w:color w:val="000000"/>
          <w:kern w:val="0"/>
        </w:rPr>
        <w:t>6) 偏离表。</w:t>
      </w:r>
    </w:p>
    <w:p>
      <w:pPr>
        <w:spacing w:line="400" w:lineRule="exact"/>
        <w:ind w:firstLine="420" w:firstLineChars="200"/>
        <w:rPr>
          <w:color w:val="000000"/>
        </w:rPr>
      </w:pPr>
      <w:r>
        <w:rPr>
          <w:color w:val="000000"/>
        </w:rPr>
        <w:t xml:space="preserve">7) </w:t>
      </w:r>
      <w:r>
        <w:rPr>
          <w:rFonts w:hint="eastAsia" w:cs="宋体"/>
          <w:color w:val="000000"/>
        </w:rPr>
        <w:t>投标产品的型号、规格、技术参数、技术标准、使用操作说明等材料。</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hint="eastAsia" w:ascii="Times New Roman" w:hAnsi="Times New Roman"/>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hint="eastAsia" w:ascii="Times New Roman" w:hAnsi="Times New Roman"/>
          <w:color w:val="000000"/>
          <w:sz w:val="21"/>
          <w:szCs w:val="21"/>
        </w:rPr>
        <w:t>。</w:t>
      </w:r>
    </w:p>
    <w:p>
      <w:pPr>
        <w:pStyle w:val="14"/>
        <w:widowControl w:val="0"/>
        <w:spacing w:before="0" w:beforeAutospacing="0" w:after="0" w:afterAutospacing="0" w:line="400" w:lineRule="exact"/>
        <w:ind w:left="735" w:leftChars="200" w:hanging="315" w:hangingChars="15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pPr>
        <w:tabs>
          <w:tab w:val="left" w:pos="1260"/>
        </w:tabs>
        <w:spacing w:line="400" w:lineRule="exact"/>
        <w:ind w:firstLine="420" w:firstLineChars="200"/>
        <w:rPr>
          <w:color w:val="000000"/>
        </w:rPr>
      </w:pPr>
      <w:r>
        <w:rPr>
          <w:color w:val="000000"/>
        </w:rPr>
        <w:t xml:space="preserve">10) </w:t>
      </w:r>
      <w:r>
        <w:rPr>
          <w:rFonts w:hint="eastAsia" w:cs="宋体"/>
          <w:color w:val="000000"/>
        </w:rPr>
        <w:t>中标以后所能提供的优惠条件。</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hint="eastAsia" w:ascii="Times New Roman"/>
          <w:color w:val="000000"/>
          <w:sz w:val="21"/>
          <w:szCs w:val="21"/>
        </w:rPr>
        <w:t>招标</w:t>
      </w:r>
      <w:r>
        <w:rPr>
          <w:rFonts w:ascii="Times New Roman" w:eastAsia="Times New Roman" w:cs="Times New Roman"/>
          <w:color w:val="000000"/>
          <w:sz w:val="21"/>
          <w:szCs w:val="21"/>
        </w:rPr>
        <w:t>文件的认可。</w:t>
      </w:r>
    </w:p>
    <w:p>
      <w:pPr>
        <w:pStyle w:val="14"/>
        <w:widowControl w:val="0"/>
        <w:spacing w:before="0" w:beforeAutospacing="0" w:after="0" w:afterAutospacing="0" w:line="400" w:lineRule="exact"/>
        <w:ind w:left="210" w:hanging="210" w:hangingChars="10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hint="eastAsia" w:ascii="Times New Roman"/>
          <w:color w:val="000000"/>
          <w:sz w:val="21"/>
          <w:szCs w:val="21"/>
        </w:rPr>
        <w:t>招标</w:t>
      </w:r>
      <w:r>
        <w:rPr>
          <w:rFonts w:ascii="Times New Roman" w:eastAsia="Times New Roman" w:cs="Times New Roman"/>
          <w:color w:val="000000"/>
          <w:sz w:val="21"/>
          <w:szCs w:val="21"/>
        </w:rPr>
        <w:t>文件中的全部内容，</w:t>
      </w:r>
      <w:r>
        <w:rPr>
          <w:rFonts w:hint="eastAsia" w:ascii="Times New Roman"/>
          <w:color w:val="000000"/>
          <w:sz w:val="21"/>
          <w:szCs w:val="21"/>
        </w:rPr>
        <w:t>招标</w:t>
      </w:r>
      <w:r>
        <w:rPr>
          <w:rFonts w:ascii="Times New Roman" w:eastAsia="Times New Roman" w:cs="Times New Roman"/>
          <w:color w:val="000000"/>
          <w:sz w:val="21"/>
          <w:szCs w:val="21"/>
        </w:rPr>
        <w:t>响应文件一经提出即表明供应商己经充分理解，完全确认</w:t>
      </w:r>
      <w:r>
        <w:rPr>
          <w:rFonts w:hint="eastAsia" w:ascii="Times New Roman"/>
          <w:color w:val="000000"/>
          <w:sz w:val="21"/>
          <w:szCs w:val="21"/>
        </w:rPr>
        <w:t>招标</w:t>
      </w:r>
      <w:r>
        <w:rPr>
          <w:rFonts w:ascii="Times New Roman" w:eastAsia="Times New Roman" w:cs="Times New Roman"/>
          <w:color w:val="000000"/>
          <w:sz w:val="21"/>
          <w:szCs w:val="21"/>
        </w:rPr>
        <w:t>文件的全部内容。供应商确认的</w:t>
      </w:r>
      <w:r>
        <w:rPr>
          <w:rFonts w:hint="eastAsia" w:ascii="Times New Roman"/>
          <w:color w:val="000000"/>
          <w:sz w:val="21"/>
          <w:szCs w:val="21"/>
        </w:rPr>
        <w:t>招标</w:t>
      </w:r>
      <w:r>
        <w:rPr>
          <w:rFonts w:ascii="Times New Roman" w:eastAsia="Times New Roman" w:cs="Times New Roman"/>
          <w:color w:val="000000"/>
          <w:sz w:val="21"/>
          <w:szCs w:val="21"/>
        </w:rPr>
        <w:t>响应文件具有法律效力，与采购人任何人的口头协议不能影响</w:t>
      </w:r>
      <w:r>
        <w:rPr>
          <w:rFonts w:hint="eastAsia" w:ascii="Times New Roman"/>
          <w:color w:val="000000"/>
          <w:sz w:val="21"/>
          <w:szCs w:val="21"/>
        </w:rPr>
        <w:t>招标</w:t>
      </w:r>
      <w:r>
        <w:rPr>
          <w:rFonts w:ascii="Times New Roman" w:eastAsia="Times New Roman" w:cs="Times New Roman"/>
          <w:color w:val="000000"/>
          <w:sz w:val="21"/>
          <w:szCs w:val="21"/>
        </w:rPr>
        <w:t>响应文件的任何条款和内容。</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4"/>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color w:val="000000"/>
          <w:sz w:val="21"/>
          <w:szCs w:val="21"/>
        </w:rPr>
        <w:t>招标</w:t>
      </w:r>
      <w:r>
        <w:rPr>
          <w:rFonts w:ascii="Times New Roman" w:eastAsia="Times New Roman" w:cs="Times New Roman"/>
          <w:color w:val="000000"/>
          <w:sz w:val="21"/>
          <w:szCs w:val="21"/>
        </w:rPr>
        <w:t>文件中所要求的文件。</w:t>
      </w:r>
    </w:p>
    <w:p>
      <w:pPr>
        <w:pStyle w:val="14"/>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hint="eastAsia" w:ascii="Times New Roman" w:cs="Times New Roman"/>
          <w:color w:val="FF0000"/>
          <w:sz w:val="21"/>
          <w:szCs w:val="21"/>
        </w:rPr>
        <w:t>陆</w:t>
      </w:r>
      <w:r>
        <w:rPr>
          <w:rFonts w:ascii="Times New Roman" w:eastAsia="Times New Roman" w:cs="Times New Roman"/>
          <w:color w:val="FF0000"/>
          <w:sz w:val="21"/>
          <w:szCs w:val="21"/>
        </w:rPr>
        <w:t>份</w:t>
      </w:r>
      <w:r>
        <w:rPr>
          <w:rFonts w:hint="eastAsia" w:ascii="Times New Roman"/>
          <w:color w:val="FF0000"/>
          <w:sz w:val="21"/>
          <w:szCs w:val="21"/>
        </w:rPr>
        <w:t>招标</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hint="eastAsia" w:ascii="Times New Roman" w:cs="Times New Roman"/>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pPr>
        <w:pStyle w:val="14"/>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招标</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hint="eastAsia" w:ascii="Times New Roman"/>
          <w:color w:val="000000"/>
          <w:sz w:val="21"/>
          <w:szCs w:val="21"/>
        </w:rPr>
        <w:t>招标</w:t>
      </w:r>
      <w:r>
        <w:rPr>
          <w:rFonts w:ascii="Times New Roman" w:eastAsia="Times New Roman" w:cs="Times New Roman"/>
          <w:color w:val="000000"/>
          <w:sz w:val="21"/>
          <w:szCs w:val="21"/>
        </w:rPr>
        <w:t>响应文件中。</w:t>
      </w:r>
    </w:p>
    <w:p>
      <w:pPr>
        <w:pStyle w:val="14"/>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招标</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color w:val="000000"/>
          <w:sz w:val="21"/>
          <w:szCs w:val="21"/>
        </w:rPr>
        <w:t>招标</w:t>
      </w:r>
      <w:r>
        <w:rPr>
          <w:rFonts w:ascii="Times New Roman" w:eastAsia="Times New Roman" w:cs="Times New Roman"/>
          <w:color w:val="000000"/>
          <w:sz w:val="21"/>
          <w:szCs w:val="21"/>
        </w:rPr>
        <w:t>响应文件人进行签字并加盖公章，否则视为无效的</w:t>
      </w:r>
      <w:r>
        <w:rPr>
          <w:rFonts w:hint="eastAsia" w:ascii="Times New Roman"/>
          <w:color w:val="000000"/>
          <w:sz w:val="21"/>
          <w:szCs w:val="21"/>
        </w:rPr>
        <w:t>招标</w:t>
      </w:r>
      <w:r>
        <w:rPr>
          <w:rFonts w:ascii="Times New Roman" w:eastAsia="Times New Roman" w:cs="Times New Roman"/>
          <w:color w:val="000000"/>
          <w:sz w:val="21"/>
          <w:szCs w:val="21"/>
        </w:rPr>
        <w:t>响应文件。</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pPr>
        <w:tabs>
          <w:tab w:val="left" w:pos="1260"/>
        </w:tabs>
        <w:spacing w:line="400" w:lineRule="exact"/>
        <w:ind w:firstLine="420" w:firstLineChars="200"/>
        <w:rPr>
          <w:color w:val="000000"/>
        </w:rPr>
      </w:pPr>
      <w:r>
        <w:rPr>
          <w:color w:val="000000"/>
        </w:rPr>
        <w:t>1</w:t>
      </w:r>
      <w:r>
        <w:rPr>
          <w:rFonts w:hint="eastAsia" w:hAnsi="宋体" w:cs="宋体"/>
          <w:color w:val="000000"/>
        </w:rPr>
        <w:t>）投标保证金：不缴纳</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pPr>
        <w:pStyle w:val="14"/>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hint="eastAsia" w:ascii="Times New Roman"/>
          <w:color w:val="000000"/>
          <w:sz w:val="21"/>
          <w:szCs w:val="21"/>
        </w:rPr>
        <w:t>招标</w:t>
      </w:r>
      <w:r>
        <w:rPr>
          <w:rFonts w:ascii="Times New Roman" w:eastAsia="Times New Roman" w:cs="Times New Roman"/>
          <w:color w:val="000000"/>
          <w:sz w:val="21"/>
          <w:szCs w:val="21"/>
        </w:rPr>
        <w:t>响应文件进行修改。</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响应文件的递交、密封和标记</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color w:val="000000"/>
          <w:sz w:val="21"/>
          <w:szCs w:val="21"/>
        </w:rPr>
        <w:t>招标</w:t>
      </w:r>
      <w:r>
        <w:rPr>
          <w:rFonts w:ascii="Times New Roman" w:eastAsia="Times New Roman" w:cs="Times New Roman"/>
          <w:color w:val="000000"/>
          <w:sz w:val="21"/>
          <w:szCs w:val="21"/>
        </w:rPr>
        <w:t>响应文件正本和副本密封。</w:t>
      </w:r>
    </w:p>
    <w:p>
      <w:pPr>
        <w:rPr>
          <w:color w:val="000000"/>
        </w:rPr>
      </w:pPr>
      <w:r>
        <w:rPr>
          <w:color w:val="000000"/>
        </w:rPr>
        <w:t xml:space="preserve">    2</w:t>
      </w:r>
      <w:r>
        <w:rPr>
          <w:rFonts w:eastAsia="Times New Roman"/>
          <w:color w:val="000000"/>
        </w:rPr>
        <w:t>）派人送至</w:t>
      </w:r>
      <w:r>
        <w:rPr>
          <w:rFonts w:hint="eastAsia"/>
          <w:color w:val="000000"/>
        </w:rPr>
        <w:t>：</w:t>
      </w:r>
      <w:r>
        <w:rPr>
          <w:rFonts w:hint="eastAsia"/>
        </w:rPr>
        <w:t>徐州市云龙区复兴南路388号徐州医科大学附属第三医院国资处</w:t>
      </w:r>
      <w:r>
        <w:rPr>
          <w:rFonts w:hint="eastAsia"/>
          <w:color w:val="000000"/>
        </w:rPr>
        <w:t>。</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color w:val="000000"/>
          <w:sz w:val="21"/>
          <w:szCs w:val="21"/>
        </w:rPr>
        <w:t>招标</w:t>
      </w:r>
      <w:r>
        <w:rPr>
          <w:rFonts w:ascii="Times New Roman" w:eastAsia="Times New Roman" w:cs="Times New Roman"/>
          <w:color w:val="000000"/>
          <w:sz w:val="21"/>
          <w:szCs w:val="21"/>
        </w:rPr>
        <w:t>响应文件的提前拆封不负责任，采购人可拒绝提前拆封的</w:t>
      </w:r>
      <w:r>
        <w:rPr>
          <w:rFonts w:hint="eastAsia" w:ascii="Times New Roman"/>
          <w:color w:val="000000"/>
          <w:sz w:val="21"/>
          <w:szCs w:val="21"/>
        </w:rPr>
        <w:t>招标</w:t>
      </w:r>
      <w:r>
        <w:rPr>
          <w:rFonts w:ascii="Times New Roman" w:eastAsia="Times New Roman" w:cs="Times New Roman"/>
          <w:color w:val="000000"/>
          <w:sz w:val="21"/>
          <w:szCs w:val="21"/>
        </w:rPr>
        <w:t>响应文件。</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响应文件的日期及时间</w:t>
      </w:r>
    </w:p>
    <w:p>
      <w:pPr>
        <w:pStyle w:val="14"/>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rPr>
        <w:t>21</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9</w:t>
      </w:r>
      <w:r>
        <w:rPr>
          <w:rFonts w:ascii="Times New Roman" w:eastAsia="Times New Roman" w:cs="Times New Roman"/>
          <w:b/>
          <w:bCs/>
          <w:color w:val="FF0000"/>
          <w:sz w:val="21"/>
          <w:szCs w:val="21"/>
        </w:rPr>
        <w:t>月</w:t>
      </w:r>
      <w:r>
        <w:rPr>
          <w:rFonts w:hint="eastAsia" w:ascii="Times New Roman" w:cs="Times New Roman"/>
          <w:b/>
          <w:bCs/>
          <w:color w:val="FF0000"/>
          <w:sz w:val="21"/>
          <w:szCs w:val="21"/>
        </w:rPr>
        <w:t xml:space="preserve"> </w:t>
      </w:r>
      <w:r>
        <w:rPr>
          <w:rFonts w:hint="eastAsia" w:ascii="Times New Roman" w:cs="Times New Roman"/>
          <w:b/>
          <w:bCs/>
          <w:color w:val="FF0000"/>
          <w:sz w:val="21"/>
          <w:szCs w:val="21"/>
          <w:lang w:val="en-US" w:eastAsia="zh-CN"/>
        </w:rPr>
        <w:t>17</w:t>
      </w:r>
      <w:r>
        <w:rPr>
          <w:rFonts w:ascii="Times New Roman" w:eastAsia="Times New Roman" w:cs="Times New Roman"/>
          <w:b/>
          <w:bCs/>
          <w:color w:val="FF0000"/>
          <w:sz w:val="21"/>
          <w:szCs w:val="21"/>
        </w:rPr>
        <w:t>日</w:t>
      </w:r>
      <w:r>
        <w:rPr>
          <w:rFonts w:hint="eastAsia" w:ascii="Times New Roman" w:cs="Times New Roman"/>
          <w:b/>
          <w:bCs/>
          <w:color w:val="FF0000"/>
          <w:sz w:val="21"/>
          <w:szCs w:val="21"/>
          <w:lang w:val="en-US" w:eastAsia="zh-CN"/>
        </w:rPr>
        <w:t>13</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3</w:t>
      </w:r>
      <w:r>
        <w:rPr>
          <w:rFonts w:hint="eastAsia" w:ascii="Times New Roman" w:cs="Times New Roman"/>
          <w:b/>
          <w:bCs/>
          <w:color w:val="FF0000"/>
          <w:sz w:val="21"/>
          <w:szCs w:val="21"/>
        </w:rPr>
        <w:t>0-</w:t>
      </w:r>
      <w:r>
        <w:rPr>
          <w:rFonts w:hint="eastAsia" w:ascii="Times New Roman" w:cs="Times New Roman"/>
          <w:b/>
          <w:bCs/>
          <w:color w:val="FF0000"/>
          <w:sz w:val="21"/>
          <w:szCs w:val="21"/>
          <w:lang w:val="en-US" w:eastAsia="zh-CN"/>
        </w:rPr>
        <w:t>14</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0</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color w:val="000000"/>
          <w:sz w:val="21"/>
          <w:szCs w:val="21"/>
        </w:rPr>
        <w:t>招标</w:t>
      </w:r>
      <w:r>
        <w:rPr>
          <w:rFonts w:ascii="Times New Roman" w:eastAsia="Times New Roman" w:cs="Times New Roman"/>
          <w:color w:val="000000"/>
          <w:sz w:val="21"/>
          <w:szCs w:val="21"/>
        </w:rPr>
        <w:t>文件的澄清和修改，采购人可根据实际情况延长</w:t>
      </w:r>
      <w:r>
        <w:rPr>
          <w:rFonts w:hint="eastAsia" w:ascii="Times New Roman"/>
          <w:color w:val="000000"/>
          <w:sz w:val="21"/>
          <w:szCs w:val="21"/>
        </w:rPr>
        <w:t>招标</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color w:val="000000"/>
          <w:sz w:val="21"/>
          <w:szCs w:val="21"/>
        </w:rPr>
        <w:t>招标</w:t>
      </w:r>
      <w:r>
        <w:rPr>
          <w:rFonts w:ascii="Times New Roman" w:eastAsia="Times New Roman" w:cs="Times New Roman"/>
          <w:color w:val="000000"/>
          <w:sz w:val="21"/>
          <w:szCs w:val="21"/>
        </w:rPr>
        <w:t>响应文件。</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响应文件的修改和撤销</w:t>
      </w:r>
    </w:p>
    <w:p>
      <w:pPr>
        <w:pStyle w:val="14"/>
        <w:widowControl w:val="0"/>
        <w:spacing w:before="0" w:beforeAutospacing="0" w:after="0" w:afterAutospacing="0" w:line="400" w:lineRule="exact"/>
        <w:ind w:left="720" w:hanging="720" w:hangingChars="343"/>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color w:val="000000"/>
          <w:sz w:val="21"/>
          <w:szCs w:val="21"/>
        </w:rPr>
        <w:t>招标</w:t>
      </w:r>
      <w:r>
        <w:rPr>
          <w:rFonts w:ascii="Times New Roman" w:eastAsia="Times New Roman" w:cs="Times New Roman"/>
          <w:color w:val="000000"/>
          <w:sz w:val="21"/>
          <w:szCs w:val="21"/>
        </w:rPr>
        <w:t>响应文件后可对其</w:t>
      </w:r>
      <w:r>
        <w:rPr>
          <w:rFonts w:hint="eastAsia" w:ascii="Times New Roman"/>
          <w:color w:val="000000"/>
          <w:sz w:val="21"/>
          <w:szCs w:val="21"/>
        </w:rPr>
        <w:t>招标</w:t>
      </w:r>
      <w:r>
        <w:rPr>
          <w:rFonts w:ascii="Times New Roman" w:eastAsia="Times New Roman" w:cs="Times New Roman"/>
          <w:color w:val="000000"/>
          <w:sz w:val="21"/>
          <w:szCs w:val="21"/>
        </w:rPr>
        <w:t>响应文件进行修改和撤销，但采购人须在提交</w:t>
      </w:r>
      <w:r>
        <w:rPr>
          <w:rFonts w:hint="eastAsia" w:ascii="Times New Roman"/>
          <w:color w:val="000000"/>
          <w:sz w:val="21"/>
          <w:szCs w:val="21"/>
        </w:rPr>
        <w:t>招标</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color w:val="000000"/>
          <w:sz w:val="21"/>
          <w:szCs w:val="21"/>
        </w:rPr>
        <w:t>招标</w:t>
      </w:r>
      <w:r>
        <w:rPr>
          <w:rFonts w:ascii="Times New Roman" w:eastAsia="Times New Roman" w:cs="Times New Roman"/>
          <w:color w:val="000000"/>
          <w:sz w:val="21"/>
          <w:szCs w:val="21"/>
        </w:rPr>
        <w:t>响应文件。</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color w:val="000000"/>
          <w:sz w:val="21"/>
          <w:szCs w:val="21"/>
        </w:rPr>
        <w:t>招标</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4"/>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hint="eastAsia" w:ascii="Times New Roman"/>
          <w:b/>
          <w:bCs/>
          <w:color w:val="000000"/>
          <w:sz w:val="21"/>
          <w:szCs w:val="21"/>
        </w:rPr>
        <w:t>招标</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rPr>
        <w:t>招标响应文件有下列情况之一的，应作为无效招标响应文件，不再参加评标：</w:t>
      </w:r>
    </w:p>
    <w:p>
      <w:pPr>
        <w:spacing w:line="400" w:lineRule="exact"/>
        <w:ind w:firstLine="420" w:firstLineChars="200"/>
        <w:rPr>
          <w:color w:val="000000"/>
        </w:rPr>
      </w:pPr>
      <w:r>
        <w:rPr>
          <w:color w:val="000000"/>
        </w:rPr>
        <w:t>1</w:t>
      </w:r>
      <w:r>
        <w:rPr>
          <w:rFonts w:hint="eastAsia" w:cs="宋体"/>
          <w:color w:val="000000"/>
        </w:rPr>
        <w:t>）招标响应文件未按招标文件要求签署、盖章的。</w:t>
      </w:r>
    </w:p>
    <w:p>
      <w:pPr>
        <w:spacing w:line="400" w:lineRule="exact"/>
        <w:ind w:firstLine="420" w:firstLineChars="200"/>
        <w:rPr>
          <w:color w:val="000000"/>
        </w:rPr>
      </w:pPr>
      <w:r>
        <w:rPr>
          <w:color w:val="000000"/>
        </w:rPr>
        <w:t>2</w:t>
      </w:r>
      <w:r>
        <w:rPr>
          <w:rFonts w:hint="eastAsia" w:cs="宋体"/>
          <w:color w:val="000000"/>
        </w:rPr>
        <w:t>）招标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rFonts w:hint="eastAsia"/>
          <w:color w:val="000000"/>
        </w:rPr>
        <w:t>3</w:t>
      </w:r>
      <w:r>
        <w:rPr>
          <w:rFonts w:hint="eastAsia" w:cs="宋体"/>
          <w:color w:val="000000"/>
        </w:rPr>
        <w:t>）</w:t>
      </w:r>
      <w:r>
        <w:rPr>
          <w:rFonts w:hint="eastAsia" w:cs="宋体"/>
          <w:color w:val="FF0000"/>
        </w:rPr>
        <w:t>招标响应文件载明的项目交货期限超过招标文件规定期限的。</w:t>
      </w:r>
    </w:p>
    <w:p>
      <w:pPr>
        <w:spacing w:line="400" w:lineRule="exact"/>
        <w:ind w:firstLine="420" w:firstLineChars="200"/>
        <w:rPr>
          <w:color w:val="000000"/>
        </w:rPr>
      </w:pPr>
      <w:r>
        <w:rPr>
          <w:rFonts w:hint="eastAsia"/>
          <w:color w:val="000000"/>
        </w:rPr>
        <w:t>4</w:t>
      </w:r>
      <w:r>
        <w:rPr>
          <w:rFonts w:hint="eastAsia" w:cs="宋体"/>
          <w:color w:val="000000"/>
        </w:rPr>
        <w:t>）供应商未实质性响应招标文件的。</w:t>
      </w:r>
    </w:p>
    <w:p>
      <w:pPr>
        <w:spacing w:line="400" w:lineRule="exact"/>
        <w:ind w:firstLine="420" w:firstLineChars="200"/>
        <w:rPr>
          <w:color w:val="000000"/>
        </w:rPr>
      </w:pPr>
      <w:r>
        <w:rPr>
          <w:rFonts w:hint="eastAsia"/>
          <w:color w:val="000000"/>
        </w:rPr>
        <w:t>5</w:t>
      </w:r>
      <w:r>
        <w:rPr>
          <w:rFonts w:hint="eastAsia" w:cs="宋体"/>
          <w:color w:val="000000"/>
        </w:rPr>
        <w:t>）法律、法规和本招标文件规定的其他无效情形。</w:t>
      </w:r>
    </w:p>
    <w:p>
      <w:pPr>
        <w:spacing w:line="400" w:lineRule="exact"/>
        <w:rPr>
          <w:b/>
          <w:bCs/>
          <w:color w:val="000000"/>
        </w:rPr>
      </w:pPr>
      <w:r>
        <w:rPr>
          <w:b/>
          <w:bCs/>
          <w:color w:val="000000"/>
        </w:rPr>
        <w:t>16</w:t>
      </w:r>
      <w:r>
        <w:rPr>
          <w:rFonts w:hint="eastAsia" w:hAnsi="宋体" w:cs="宋体"/>
          <w:b/>
          <w:bCs/>
          <w:color w:val="000000"/>
        </w:rPr>
        <w:t>、招标</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hint="eastAsia" w:ascii="Times New Roman"/>
          <w:b/>
          <w:bCs/>
          <w:color w:val="000000"/>
          <w:sz w:val="21"/>
          <w:szCs w:val="21"/>
        </w:rPr>
        <w:t xml:space="preserve">    招标</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rPr>
        <w:t>21</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9</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17</w:t>
      </w:r>
      <w:r>
        <w:rPr>
          <w:rFonts w:ascii="Times New Roman" w:eastAsia="Times New Roman" w:cs="Times New Roman"/>
          <w:b/>
          <w:bCs/>
          <w:color w:val="FF0000"/>
          <w:sz w:val="21"/>
          <w:szCs w:val="21"/>
        </w:rPr>
        <w:t>日</w:t>
      </w:r>
      <w:r>
        <w:rPr>
          <w:rFonts w:hint="eastAsia" w:ascii="Times New Roman" w:eastAsia="宋体" w:cs="Times New Roman"/>
          <w:b/>
          <w:bCs/>
          <w:color w:val="FF0000"/>
          <w:sz w:val="21"/>
          <w:szCs w:val="21"/>
          <w:lang w:val="en-US" w:eastAsia="zh-CN"/>
        </w:rPr>
        <w:t>14</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0</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由评审专家组综合评选出成交供应商。</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响应文件的审查</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招标小组对供应商的招标响应文件进行符合性审查，审查招标响应文件是否完整，是否有计算错误，文件是否恰当地签署，招标响应文件是否符合规定等内容。以确定其是否对招标文件的要求做出了实质性的响应。</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）本招标文件的实质性响应指对于招标文件中明确必须满足的要求（包括资格要求、合同条款、质量保证期、不响应即为无效标的条款等），以不同方式提供符合要求的证明，即为实质性响应。</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）本招标文件的实质性响应方式指供应商可以通过有效证件复印件、权威部门出具的证明材料、书面承诺等合法形式编制在招标响应文件中作为实质性响应的方式。</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）招标小组决定招标响应文件的响应性是基于招标响应文件本身而不依靠外部的证据。</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）如果招标响应文件未实质性响应本招标文件的要求，招标小组将予以拒绝，供应商不得通过修改或撤销不合要求的偏离或保留而使其投标成为实质上响应的投标。</w:t>
      </w:r>
    </w:p>
    <w:p>
      <w:pPr>
        <w:pStyle w:val="14"/>
        <w:widowControl w:val="0"/>
        <w:spacing w:before="0" w:beforeAutospacing="0" w:after="0" w:afterAutospacing="0" w:line="400" w:lineRule="exact"/>
        <w:ind w:firstLine="422" w:firstLineChars="200"/>
        <w:jc w:val="both"/>
        <w:rPr>
          <w:rFonts w:ascii="Times New Roman" w:hAnsi="Times New Roman" w:cs="Times New Roman"/>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响应文件的评议</w:t>
      </w:r>
    </w:p>
    <w:p>
      <w:pPr>
        <w:pStyle w:val="14"/>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color w:val="000000"/>
          <w:sz w:val="21"/>
          <w:szCs w:val="21"/>
        </w:rPr>
        <w:t>招标</w:t>
      </w:r>
      <w:r>
        <w:rPr>
          <w:rFonts w:ascii="Times New Roman" w:eastAsia="Times New Roman" w:cs="Times New Roman"/>
          <w:color w:val="000000"/>
          <w:sz w:val="21"/>
          <w:szCs w:val="21"/>
        </w:rPr>
        <w:t>小组。</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color w:val="000000"/>
          <w:sz w:val="21"/>
          <w:szCs w:val="21"/>
        </w:rPr>
        <w:t>招标</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rPr>
        <w:t>招标</w:t>
      </w:r>
      <w:r>
        <w:rPr>
          <w:rFonts w:ascii="Times New Roman" w:eastAsia="Times New Roman" w:cs="Times New Roman"/>
          <w:color w:val="000000"/>
          <w:sz w:val="21"/>
          <w:szCs w:val="21"/>
        </w:rPr>
        <w:t>响应文件中所报交货期。</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w:t>
      </w:r>
      <w:r>
        <w:rPr>
          <w:rFonts w:hint="eastAsia" w:cs="宋体"/>
          <w:color w:val="FF0000"/>
        </w:rPr>
        <w:t>综合评分法的评标办法</w:t>
      </w:r>
      <w:r>
        <w:rPr>
          <w:rFonts w:hint="eastAsia" w:cs="宋体"/>
          <w:color w:val="000000"/>
        </w:rPr>
        <w:t>，由招标小组对供应商的报价、项目功能、实施方案、业绩、售后服务等条件进行综合评审，择优确定成交供应商。</w:t>
      </w:r>
    </w:p>
    <w:tbl>
      <w:tblPr>
        <w:tblStyle w:val="15"/>
        <w:tblW w:w="608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233"/>
        <w:gridCol w:w="1342"/>
        <w:gridCol w:w="1620"/>
        <w:gridCol w:w="52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pct"/>
            <w:gridSpan w:val="2"/>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评审因素</w:t>
            </w:r>
          </w:p>
        </w:tc>
        <w:tc>
          <w:tcPr>
            <w:tcW w:w="3827" w:type="pct"/>
            <w:gridSpan w:val="3"/>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评审因素细化和量化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价格部分（3</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分）</w:t>
            </w:r>
          </w:p>
        </w:tc>
        <w:tc>
          <w:tcPr>
            <w:tcW w:w="572" w:type="pc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价格</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分）</w:t>
            </w:r>
          </w:p>
        </w:tc>
        <w:tc>
          <w:tcPr>
            <w:tcW w:w="3827" w:type="pct"/>
            <w:gridSpan w:val="3"/>
            <w:noWrap w:val="0"/>
            <w:vAlign w:val="center"/>
          </w:tcPr>
          <w:p>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各投标人价格得分=最低报价（投标人的最低评审价格）÷各投标人评审价格×3</w:t>
            </w:r>
            <w:r>
              <w:rPr>
                <w:rFonts w:hint="eastAsia" w:asciiTheme="minorEastAsia" w:hAnsiTheme="minorEastAsia" w:eastAsiaTheme="minorEastAsia" w:cstheme="minorEastAsia"/>
                <w:sz w:val="24"/>
                <w:lang w:val="en-US" w:eastAsia="zh-CN"/>
              </w:rPr>
              <w:t>0</w:t>
            </w:r>
          </w:p>
          <w:p>
            <w:pPr>
              <w:rPr>
                <w:rFonts w:hint="eastAsia" w:asciiTheme="minorEastAsia" w:hAnsiTheme="minorEastAsia" w:eastAsiaTheme="minorEastAsia" w:cstheme="minorEastAsia"/>
                <w:sz w:val="24"/>
              </w:rPr>
            </w:pPr>
            <w:bookmarkStart w:id="0" w:name="_GoBack"/>
            <w:bookmarkEnd w:id="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601" w:type="pct"/>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技术部分（</w:t>
            </w:r>
            <w:r>
              <w:rPr>
                <w:rFonts w:hint="eastAsia" w:asciiTheme="minorEastAsia" w:hAnsiTheme="minorEastAsia" w:eastAsiaTheme="minorEastAsia" w:cstheme="minorEastAsia"/>
                <w:sz w:val="24"/>
                <w:lang w:val="en-US" w:eastAsia="zh-CN"/>
              </w:rPr>
              <w:t>46</w:t>
            </w:r>
            <w:r>
              <w:rPr>
                <w:rFonts w:hint="eastAsia" w:asciiTheme="minorEastAsia" w:hAnsiTheme="minorEastAsia" w:eastAsiaTheme="minorEastAsia" w:cstheme="minorEastAsia"/>
                <w:sz w:val="24"/>
              </w:rPr>
              <w:t>分）</w:t>
            </w:r>
          </w:p>
        </w:tc>
        <w:tc>
          <w:tcPr>
            <w:tcW w:w="572" w:type="pc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所投产品的技术规格（</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w:t>
            </w:r>
          </w:p>
        </w:tc>
        <w:tc>
          <w:tcPr>
            <w:tcW w:w="3827" w:type="pct"/>
            <w:gridSpan w:val="3"/>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基本分为</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完全符合招标文件第六章《采购需求》要求的，得基本分</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每有一项不符合的，从基本分中减4分；</w:t>
            </w:r>
          </w:p>
          <w:p>
            <w:pPr>
              <w:bidi w:val="0"/>
              <w:rPr>
                <w:rFonts w:hint="eastAsia"/>
              </w:rPr>
            </w:pPr>
            <w:r>
              <w:rPr>
                <w:rFonts w:hint="eastAsia"/>
              </w:rPr>
              <w:t>本项最高得</w:t>
            </w:r>
            <w:r>
              <w:rPr>
                <w:rFonts w:hint="eastAsia"/>
                <w:lang w:val="en-US" w:eastAsia="zh-CN"/>
              </w:rPr>
              <w:t>30</w:t>
            </w:r>
            <w:r>
              <w:rPr>
                <w:rFonts w:hint="eastAsia"/>
              </w:rPr>
              <w:t>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601" w:type="pct"/>
            <w:vMerge w:val="continue"/>
            <w:noWrap w:val="0"/>
            <w:vAlign w:val="center"/>
          </w:tcPr>
          <w:p>
            <w:pPr>
              <w:jc w:val="center"/>
              <w:rPr>
                <w:rFonts w:hint="eastAsia" w:asciiTheme="minorEastAsia" w:hAnsiTheme="minorEastAsia" w:eastAsiaTheme="minorEastAsia" w:cstheme="minorEastAsia"/>
                <w:sz w:val="24"/>
              </w:rPr>
            </w:pPr>
          </w:p>
        </w:tc>
        <w:tc>
          <w:tcPr>
            <w:tcW w:w="572" w:type="pct"/>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项目实施方案</w:t>
            </w:r>
          </w:p>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tc>
        <w:tc>
          <w:tcPr>
            <w:tcW w:w="623" w:type="pct"/>
            <w:noWrap w:val="0"/>
            <w:vAlign w:val="center"/>
          </w:tcPr>
          <w:p>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时间进度安排方案</w:t>
            </w:r>
          </w:p>
          <w:p>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tc>
        <w:tc>
          <w:tcPr>
            <w:tcW w:w="3204" w:type="pct"/>
            <w:gridSpan w:val="2"/>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对时间进度安排的合理性、可行性进行评价。</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合理性（</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分）：进度安排合理得</w:t>
            </w:r>
            <w:r>
              <w:rPr>
                <w:rFonts w:hint="eastAsia" w:asciiTheme="minorEastAsia" w:hAnsiTheme="minorEastAsia" w:eastAsiaTheme="minorEastAsia" w:cstheme="minorEastAsia"/>
                <w:sz w:val="24"/>
                <w:lang w:val="en-US" w:eastAsia="zh-CN"/>
              </w:rPr>
              <w:t>4-3</w:t>
            </w:r>
            <w:r>
              <w:rPr>
                <w:rFonts w:hint="eastAsia" w:asciiTheme="minorEastAsia" w:hAnsiTheme="minorEastAsia" w:eastAsiaTheme="minorEastAsia" w:cstheme="minorEastAsia"/>
                <w:sz w:val="24"/>
              </w:rPr>
              <w:t>分；进度安排较合理得1分;进度安排不合理得0分。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可行性（1分）：进度安排可行得1分；进度安排不可行得0分。</w:t>
            </w:r>
          </w:p>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未提供的得0分</w:t>
            </w:r>
            <w:r>
              <w:rPr>
                <w:rFonts w:hint="eastAsia" w:asciiTheme="minorEastAsia" w:hAnsiTheme="minorEastAsia" w:eastAsiaTheme="minorEastAsia" w:cstheme="minorEastAsia"/>
                <w:kern w:val="0"/>
                <w:sz w:val="24"/>
              </w:rPr>
              <w:t>。</w:t>
            </w:r>
          </w:p>
          <w:p>
            <w:pPr>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本项最高得</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601" w:type="pct"/>
            <w:vMerge w:val="continue"/>
            <w:noWrap w:val="0"/>
            <w:vAlign w:val="center"/>
          </w:tcPr>
          <w:p>
            <w:pPr>
              <w:jc w:val="center"/>
              <w:rPr>
                <w:rFonts w:hint="eastAsia" w:asciiTheme="minorEastAsia" w:hAnsiTheme="minorEastAsia" w:eastAsiaTheme="minorEastAsia" w:cstheme="minorEastAsia"/>
                <w:sz w:val="24"/>
              </w:rPr>
            </w:pPr>
          </w:p>
        </w:tc>
        <w:tc>
          <w:tcPr>
            <w:tcW w:w="572" w:type="pct"/>
            <w:vMerge w:val="continue"/>
            <w:noWrap w:val="0"/>
            <w:vAlign w:val="center"/>
          </w:tcPr>
          <w:p>
            <w:pPr>
              <w:jc w:val="center"/>
              <w:rPr>
                <w:rFonts w:hint="eastAsia" w:asciiTheme="minorEastAsia" w:hAnsiTheme="minorEastAsia" w:eastAsiaTheme="minorEastAsia" w:cstheme="minorEastAsia"/>
                <w:b/>
                <w:sz w:val="24"/>
              </w:rPr>
            </w:pPr>
          </w:p>
        </w:tc>
        <w:tc>
          <w:tcPr>
            <w:tcW w:w="623" w:type="pc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安全保障方案（</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p>
            <w:pPr>
              <w:jc w:val="left"/>
              <w:rPr>
                <w:rFonts w:hint="eastAsia" w:asciiTheme="minorEastAsia" w:hAnsiTheme="minorEastAsia" w:eastAsiaTheme="minorEastAsia" w:cstheme="minorEastAsia"/>
                <w:kern w:val="0"/>
                <w:sz w:val="24"/>
              </w:rPr>
            </w:pPr>
          </w:p>
        </w:tc>
        <w:tc>
          <w:tcPr>
            <w:tcW w:w="3204" w:type="pct"/>
            <w:gridSpan w:val="2"/>
            <w:noWrap w:val="0"/>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对方案的针对性、可行性进行评价。</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针对性(</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分)：针对性强得</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分；针对性不强得0分。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可行性（</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分）：切实可行得</w:t>
            </w:r>
            <w:r>
              <w:rPr>
                <w:rFonts w:hint="eastAsia" w:asciiTheme="minorEastAsia" w:hAnsiTheme="minorEastAsia" w:eastAsiaTheme="minorEastAsia" w:cstheme="minorEastAsia"/>
                <w:sz w:val="24"/>
                <w:lang w:val="en-US" w:eastAsia="zh-CN"/>
              </w:rPr>
              <w:t>4-3</w:t>
            </w:r>
            <w:r>
              <w:rPr>
                <w:rFonts w:hint="eastAsia" w:asciiTheme="minorEastAsia" w:hAnsiTheme="minorEastAsia" w:eastAsiaTheme="minorEastAsia" w:cstheme="minorEastAsia"/>
                <w:sz w:val="24"/>
              </w:rPr>
              <w:t>分；较切实可行得</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1分；可行性欠缺得0分；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本项最高得</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601" w:type="pct"/>
            <w:vMerge w:val="continue"/>
            <w:noWrap w:val="0"/>
            <w:vAlign w:val="center"/>
          </w:tcPr>
          <w:p>
            <w:pPr>
              <w:jc w:val="center"/>
              <w:rPr>
                <w:rFonts w:hint="eastAsia" w:asciiTheme="minorEastAsia" w:hAnsiTheme="minorEastAsia" w:eastAsiaTheme="minorEastAsia" w:cstheme="minorEastAsia"/>
                <w:sz w:val="24"/>
              </w:rPr>
            </w:pPr>
          </w:p>
        </w:tc>
        <w:tc>
          <w:tcPr>
            <w:tcW w:w="572" w:type="pct"/>
            <w:vMerge w:val="continue"/>
            <w:noWrap w:val="0"/>
            <w:vAlign w:val="center"/>
          </w:tcPr>
          <w:p>
            <w:pPr>
              <w:jc w:val="center"/>
              <w:rPr>
                <w:rFonts w:hint="eastAsia" w:asciiTheme="minorEastAsia" w:hAnsiTheme="minorEastAsia" w:eastAsiaTheme="minorEastAsia" w:cstheme="minorEastAsia"/>
                <w:b/>
                <w:sz w:val="24"/>
              </w:rPr>
            </w:pPr>
          </w:p>
        </w:tc>
        <w:tc>
          <w:tcPr>
            <w:tcW w:w="623" w:type="pc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项目测试方案</w:t>
            </w:r>
          </w:p>
          <w:p>
            <w:pPr>
              <w:spacing w:line="240" w:lineRule="atLeast"/>
              <w:ind w:right="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3204" w:type="pct"/>
            <w:gridSpan w:val="2"/>
            <w:noWrap w:val="0"/>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对方案的针对性、内容完整性、规范性进行评价。</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针对性（2分）</w:t>
            </w:r>
            <w:r>
              <w:rPr>
                <w:rFonts w:hint="eastAsia" w:asciiTheme="minorEastAsia" w:hAnsiTheme="minorEastAsia" w:eastAsiaTheme="minorEastAsia" w:cstheme="minorEastAsia"/>
                <w:sz w:val="24"/>
              </w:rPr>
              <w:t>针对性强得2分；针对性较强得1分；针对性不强得0分。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内容完整性（1分）：内容完整得1分；内容不完整得0分。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规范性（2分）：符合规范得2分；不符合规范得0分。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本项最高得5分，最低得0分。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601" w:type="pct"/>
            <w:vMerge w:val="restart"/>
            <w:noWrap w:val="0"/>
            <w:vAlign w:val="center"/>
          </w:tcPr>
          <w:p>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商务部分（</w:t>
            </w:r>
            <w:r>
              <w:rPr>
                <w:rFonts w:hint="eastAsia" w:asciiTheme="minorEastAsia" w:hAnsiTheme="minorEastAsia" w:eastAsiaTheme="minorEastAsia" w:cstheme="minorEastAsia"/>
                <w:sz w:val="24"/>
                <w:lang w:val="en-US" w:eastAsia="zh-CN"/>
              </w:rPr>
              <w:t>24</w:t>
            </w:r>
            <w:r>
              <w:rPr>
                <w:rFonts w:hint="eastAsia" w:asciiTheme="minorEastAsia" w:hAnsiTheme="minorEastAsia" w:eastAsiaTheme="minorEastAsia" w:cstheme="minorEastAsia"/>
                <w:sz w:val="24"/>
              </w:rPr>
              <w:t>分）</w:t>
            </w:r>
          </w:p>
        </w:tc>
        <w:tc>
          <w:tcPr>
            <w:tcW w:w="572" w:type="pct"/>
            <w:vMerge w:val="restar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售后服务及技术培训方案（</w:t>
            </w:r>
            <w:r>
              <w:rPr>
                <w:rFonts w:hint="eastAsia" w:asciiTheme="minorEastAsia" w:hAnsiTheme="minorEastAsia" w:eastAsiaTheme="minorEastAsia" w:cstheme="minorEastAsia"/>
                <w:sz w:val="24"/>
                <w:lang w:val="en-US" w:eastAsia="zh-CN"/>
              </w:rPr>
              <w:t>24</w:t>
            </w:r>
            <w:r>
              <w:rPr>
                <w:rFonts w:hint="eastAsia" w:asciiTheme="minorEastAsia" w:hAnsiTheme="minorEastAsia" w:eastAsiaTheme="minorEastAsia" w:cstheme="minorEastAsia"/>
                <w:sz w:val="24"/>
              </w:rPr>
              <w:t>分）</w:t>
            </w:r>
          </w:p>
        </w:tc>
        <w:tc>
          <w:tcPr>
            <w:tcW w:w="623" w:type="pct"/>
            <w:vMerge w:val="restar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售后服务方案</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16</w:t>
            </w:r>
            <w:r>
              <w:rPr>
                <w:rFonts w:hint="eastAsia" w:asciiTheme="minorEastAsia" w:hAnsiTheme="minorEastAsia" w:eastAsiaTheme="minorEastAsia" w:cstheme="minorEastAsia"/>
                <w:sz w:val="24"/>
              </w:rPr>
              <w:t>分)</w:t>
            </w:r>
          </w:p>
        </w:tc>
        <w:tc>
          <w:tcPr>
            <w:tcW w:w="752" w:type="pc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免费质保期</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tc>
        <w:tc>
          <w:tcPr>
            <w:tcW w:w="2452" w:type="pc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年及以下，不得分；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每多一年，得</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本项最高得</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601" w:type="pct"/>
            <w:vMerge w:val="continue"/>
            <w:noWrap w:val="0"/>
            <w:vAlign w:val="top"/>
          </w:tcPr>
          <w:p>
            <w:pPr>
              <w:rPr>
                <w:rFonts w:hint="eastAsia" w:asciiTheme="minorEastAsia" w:hAnsiTheme="minorEastAsia" w:eastAsiaTheme="minorEastAsia" w:cstheme="minorEastAsia"/>
                <w:kern w:val="0"/>
                <w:sz w:val="24"/>
              </w:rPr>
            </w:pPr>
          </w:p>
        </w:tc>
        <w:tc>
          <w:tcPr>
            <w:tcW w:w="572" w:type="pct"/>
            <w:vMerge w:val="continue"/>
            <w:noWrap w:val="0"/>
            <w:vAlign w:val="center"/>
          </w:tcPr>
          <w:p>
            <w:pPr>
              <w:rPr>
                <w:rFonts w:hint="eastAsia" w:asciiTheme="minorEastAsia" w:hAnsiTheme="minorEastAsia" w:eastAsiaTheme="minorEastAsia" w:cstheme="minorEastAsia"/>
                <w:sz w:val="24"/>
              </w:rPr>
            </w:pPr>
          </w:p>
        </w:tc>
        <w:tc>
          <w:tcPr>
            <w:tcW w:w="623" w:type="pct"/>
            <w:vMerge w:val="continue"/>
            <w:noWrap w:val="0"/>
            <w:vAlign w:val="center"/>
          </w:tcPr>
          <w:p>
            <w:pPr>
              <w:rPr>
                <w:rFonts w:hint="eastAsia" w:asciiTheme="minorEastAsia" w:hAnsiTheme="minorEastAsia" w:eastAsiaTheme="minorEastAsia" w:cstheme="minorEastAsia"/>
                <w:sz w:val="24"/>
              </w:rPr>
            </w:pPr>
          </w:p>
        </w:tc>
        <w:tc>
          <w:tcPr>
            <w:tcW w:w="752" w:type="pc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免费质保期内服务方案</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（8分）</w:t>
            </w:r>
          </w:p>
        </w:tc>
        <w:tc>
          <w:tcPr>
            <w:tcW w:w="2452" w:type="pct"/>
            <w:noWrap w:val="0"/>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根据方案内容的完整性</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可行性进行评价。</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内容完整性（4分）：内容完整得4分；内容较完整得1-3分；内容不完整得0分;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可行性（4分）：切实可行得4分；较切实可行得1-3分；可行性欠缺得0分；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本项最高得8分，最低得0分。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01" w:type="pct"/>
            <w:vMerge w:val="continue"/>
            <w:noWrap w:val="0"/>
            <w:vAlign w:val="top"/>
          </w:tcPr>
          <w:p>
            <w:pPr>
              <w:rPr>
                <w:rFonts w:hint="eastAsia" w:asciiTheme="minorEastAsia" w:hAnsiTheme="minorEastAsia" w:eastAsiaTheme="minorEastAsia" w:cstheme="minorEastAsia"/>
                <w:kern w:val="0"/>
                <w:sz w:val="24"/>
              </w:rPr>
            </w:pPr>
          </w:p>
        </w:tc>
        <w:tc>
          <w:tcPr>
            <w:tcW w:w="572" w:type="pct"/>
            <w:vMerge w:val="continue"/>
            <w:noWrap w:val="0"/>
            <w:vAlign w:val="center"/>
          </w:tcPr>
          <w:p>
            <w:pPr>
              <w:rPr>
                <w:rFonts w:hint="eastAsia" w:asciiTheme="minorEastAsia" w:hAnsiTheme="minorEastAsia" w:eastAsiaTheme="minorEastAsia" w:cstheme="minorEastAsia"/>
                <w:sz w:val="24"/>
              </w:rPr>
            </w:pPr>
          </w:p>
        </w:tc>
        <w:tc>
          <w:tcPr>
            <w:tcW w:w="623" w:type="pct"/>
            <w:vMerge w:val="continue"/>
            <w:noWrap w:val="0"/>
            <w:vAlign w:val="center"/>
          </w:tcPr>
          <w:p>
            <w:pPr>
              <w:widowControl/>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p>
        </w:tc>
        <w:tc>
          <w:tcPr>
            <w:tcW w:w="752" w:type="pct"/>
            <w:noWrap w:val="0"/>
            <w:vAlign w:val="center"/>
          </w:tcPr>
          <w:p>
            <w:pPr>
              <w:widowControl/>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免费质保期外服务方案</w:t>
            </w:r>
          </w:p>
          <w:p>
            <w:pPr>
              <w:widowControl/>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（5分）</w:t>
            </w:r>
          </w:p>
        </w:tc>
        <w:tc>
          <w:tcPr>
            <w:tcW w:w="2452" w:type="pct"/>
            <w:noWrap w:val="0"/>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根据方案内容的完整性</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可行性进行评价。</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内容的完整性（3分）：</w:t>
            </w:r>
            <w:r>
              <w:rPr>
                <w:rFonts w:hint="eastAsia" w:asciiTheme="minorEastAsia" w:hAnsiTheme="minorEastAsia" w:eastAsiaTheme="minorEastAsia" w:cstheme="minorEastAsia"/>
                <w:sz w:val="24"/>
              </w:rPr>
              <w:t>内容完整得3分；内容较完整得1-2分；内容不完整得0分；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可行性（2分）：</w:t>
            </w:r>
            <w:r>
              <w:rPr>
                <w:rFonts w:hint="eastAsia" w:asciiTheme="minorEastAsia" w:hAnsiTheme="minorEastAsia" w:eastAsiaTheme="minorEastAsia" w:cstheme="minorEastAsia"/>
                <w:sz w:val="24"/>
              </w:rPr>
              <w:t>切实可行得2分；较切实可行得1分；可行性欠缺得0分；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本项最高得5分，最低得0分。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601" w:type="pct"/>
            <w:vMerge w:val="continue"/>
            <w:noWrap w:val="0"/>
            <w:vAlign w:val="top"/>
          </w:tcPr>
          <w:p>
            <w:pPr>
              <w:rPr>
                <w:rFonts w:hint="eastAsia" w:asciiTheme="minorEastAsia" w:hAnsiTheme="minorEastAsia" w:eastAsiaTheme="minorEastAsia" w:cstheme="minorEastAsia"/>
                <w:kern w:val="0"/>
                <w:sz w:val="24"/>
              </w:rPr>
            </w:pPr>
          </w:p>
        </w:tc>
        <w:tc>
          <w:tcPr>
            <w:tcW w:w="572" w:type="pct"/>
            <w:vMerge w:val="continue"/>
            <w:noWrap w:val="0"/>
            <w:vAlign w:val="center"/>
          </w:tcPr>
          <w:p>
            <w:pPr>
              <w:rPr>
                <w:rFonts w:hint="eastAsia" w:asciiTheme="minorEastAsia" w:hAnsiTheme="minorEastAsia" w:eastAsiaTheme="minorEastAsia" w:cstheme="minorEastAsia"/>
                <w:kern w:val="0"/>
                <w:sz w:val="24"/>
              </w:rPr>
            </w:pPr>
          </w:p>
        </w:tc>
        <w:tc>
          <w:tcPr>
            <w:tcW w:w="623" w:type="pct"/>
            <w:noWrap w:val="0"/>
            <w:vAlign w:val="center"/>
          </w:tcPr>
          <w:p>
            <w:pPr>
              <w:widowControl w:val="0"/>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技术培训方案</w:t>
            </w:r>
          </w:p>
          <w:p>
            <w:pPr>
              <w:widowControl w:val="0"/>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（8分）</w:t>
            </w:r>
          </w:p>
        </w:tc>
        <w:tc>
          <w:tcPr>
            <w:tcW w:w="3204" w:type="pct"/>
            <w:gridSpan w:val="2"/>
            <w:noWrap w:val="0"/>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根据方案内容的完整性</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可行性进行评价。</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内容完整性（4分）：内容完整得4分；内容较完整得1-3分；内容不完整得0分;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可行性（4分）：切实可行得4分；较切实可行得1-3分；可行性欠缺得0分；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本项最高得8分，最低得0分。</w:t>
            </w:r>
          </w:p>
        </w:tc>
      </w:tr>
    </w:tbl>
    <w:p>
      <w:pPr>
        <w:tabs>
          <w:tab w:val="left" w:pos="1260"/>
        </w:tabs>
        <w:spacing w:line="400" w:lineRule="exact"/>
        <w:ind w:left="735" w:leftChars="350"/>
        <w:rPr>
          <w:color w:val="000000"/>
        </w:rPr>
      </w:pPr>
    </w:p>
    <w:p>
      <w:pPr>
        <w:tabs>
          <w:tab w:val="left" w:pos="1260"/>
        </w:tabs>
        <w:spacing w:line="400" w:lineRule="exact"/>
      </w:pPr>
      <w:r>
        <w:rPr>
          <w:color w:val="000000"/>
        </w:rPr>
        <w:t xml:space="preserve">   5</w:t>
      </w:r>
      <w:r>
        <w:rPr>
          <w:rFonts w:hint="eastAsia" w:cs="宋体"/>
          <w:color w:val="000000"/>
        </w:rPr>
        <w:t>）</w:t>
      </w:r>
      <w:r>
        <w:rPr>
          <w:rFonts w:hint="eastAsia" w:cs="宋体"/>
        </w:rPr>
        <w:t>招标小组将依据评标细则评分，依据总得分从高到底顺序确定中标候选人，</w:t>
      </w:r>
      <w:r>
        <w:rPr>
          <w:rFonts w:hint="eastAsia" w:ascii="宋体" w:hAnsi="宋体" w:cs="宋体"/>
          <w:color w:val="000000"/>
          <w:shd w:val="clear" w:color="auto" w:fill="FFFFFF"/>
        </w:rPr>
        <w:t>投标人的综合平均得分从高至低排序，排列第一名的投标人即为中标单位。若得分相同，价格低者优先；若价格相同，投标技术配置高者优先，</w:t>
      </w:r>
      <w:r>
        <w:rPr>
          <w:rFonts w:hint="eastAsia" w:cs="宋体"/>
        </w:rPr>
        <w:t>成交供应商确定后，当场向所有供应商宣布。</w:t>
      </w:r>
    </w:p>
    <w:p>
      <w:pPr>
        <w:tabs>
          <w:tab w:val="left" w:pos="1260"/>
        </w:tabs>
        <w:spacing w:line="400" w:lineRule="exact"/>
        <w:rPr>
          <w:color w:val="000000"/>
        </w:rPr>
      </w:pPr>
      <w:r>
        <w:rPr>
          <w:b/>
          <w:bCs/>
          <w:color w:val="000000"/>
        </w:rPr>
        <w:t>19</w:t>
      </w:r>
      <w:r>
        <w:rPr>
          <w:rFonts w:hint="eastAsia" w:cs="宋体"/>
          <w:b/>
          <w:bCs/>
          <w:color w:val="000000"/>
        </w:rPr>
        <w:t>、招标响应文件的澄清</w:t>
      </w:r>
    </w:p>
    <w:p>
      <w:pPr>
        <w:pStyle w:val="8"/>
        <w:spacing w:line="400" w:lineRule="exact"/>
        <w:rPr>
          <w:rFonts w:ascii="Times New Roman" w:hAnsi="Times New Roman" w:cs="Times New Roman"/>
          <w:color w:val="000000"/>
        </w:rPr>
      </w:pPr>
      <w:r>
        <w:rPr>
          <w:rFonts w:hint="eastAsia" w:ascii="Times New Roman" w:hAnsi="宋体"/>
          <w:color w:val="000000"/>
        </w:rPr>
        <w:t>为有助于招标响应文件的审查，采购人有权要求供应商以书面形式对其招标响应文件进行澄清。</w:t>
      </w:r>
    </w:p>
    <w:p>
      <w:pPr>
        <w:pStyle w:val="8"/>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hint="eastAsia" w:ascii="Times New Roman" w:hAnsi="宋体"/>
          <w:b/>
          <w:bCs/>
          <w:color w:val="000000"/>
        </w:rPr>
        <w:t>、中标通知</w:t>
      </w:r>
    </w:p>
    <w:p>
      <w:pPr>
        <w:pStyle w:val="8"/>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）招标文件有效期满前，采购人将书面通知成交供应商其投标被接受。</w:t>
      </w:r>
    </w:p>
    <w:p>
      <w:pPr>
        <w:pStyle w:val="8"/>
        <w:spacing w:line="400" w:lineRule="exact"/>
        <w:rPr>
          <w:rFonts w:ascii="Times New Roman" w:hAnsi="宋体"/>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）在向成交供应商发出中标通知书后，采购人将通知落选的供应商其投标未被接受.</w:t>
      </w:r>
    </w:p>
    <w:p>
      <w:pPr>
        <w:pStyle w:val="8"/>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8"/>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hint="eastAsia" w:ascii="Times New Roman" w:hAnsi="宋体"/>
          <w:b/>
          <w:bCs/>
          <w:color w:val="000000"/>
        </w:rPr>
        <w:t>、签订合同</w:t>
      </w:r>
    </w:p>
    <w:p>
      <w:pPr>
        <w:spacing w:line="360" w:lineRule="auto"/>
        <w:rPr>
          <w:rFonts w:cs="宋体"/>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成交供应商应按中标通知书规定的时间、地点及其他要求与我院签订合同</w:t>
      </w:r>
      <w:r>
        <w:rPr>
          <w:rFonts w:hint="eastAsia" w:cs="宋体"/>
          <w:color w:val="000000"/>
        </w:rPr>
        <w:t>，逾期采购人有权另行采购。</w:t>
      </w:r>
    </w:p>
    <w:p>
      <w:pPr>
        <w:spacing w:line="360" w:lineRule="auto"/>
        <w:rPr>
          <w:rFonts w:hAnsi="宋体" w:cs="宋体"/>
          <w:color w:val="000000"/>
        </w:rPr>
      </w:pPr>
      <w:r>
        <w:rPr>
          <w:rFonts w:hint="eastAsia" w:hAnsi="宋体" w:cs="宋体"/>
          <w:color w:val="000000"/>
        </w:rPr>
        <w:t>2）所有产品签订的合同均以人民币进行结算。</w:t>
      </w:r>
    </w:p>
    <w:p>
      <w:pPr>
        <w:spacing w:line="360" w:lineRule="auto"/>
        <w:rPr>
          <w:rFonts w:hAnsi="宋体"/>
          <w:color w:val="000000"/>
        </w:rPr>
      </w:pPr>
      <w:r>
        <w:rPr>
          <w:rFonts w:hint="eastAsia" w:hAnsi="宋体" w:cs="宋体"/>
          <w:color w:val="000000"/>
        </w:rPr>
        <w:t>3）成交供应商需按照合同约定时间进行供货，逾期按违约处理。</w:t>
      </w:r>
    </w:p>
    <w:p>
      <w:pPr>
        <w:spacing w:line="360" w:lineRule="exact"/>
        <w:ind w:firstLine="1506" w:firstLineChars="500"/>
        <w:rPr>
          <w:rFonts w:hAnsi="宋体" w:cs="宋体"/>
          <w:b/>
          <w:bCs/>
          <w:color w:val="000000"/>
          <w:sz w:val="30"/>
          <w:szCs w:val="30"/>
        </w:rPr>
      </w:pPr>
    </w:p>
    <w:p>
      <w:pPr>
        <w:spacing w:line="360" w:lineRule="exact"/>
        <w:jc w:val="center"/>
        <w:rPr>
          <w:b/>
          <w:bCs/>
          <w:color w:val="000000"/>
          <w:sz w:val="30"/>
          <w:szCs w:val="30"/>
        </w:rPr>
      </w:pPr>
      <w:r>
        <w:rPr>
          <w:rFonts w:hint="eastAsia" w:hAnsi="宋体" w:cs="宋体"/>
          <w:b/>
          <w:bCs/>
          <w:color w:val="000000"/>
          <w:sz w:val="30"/>
          <w:szCs w:val="30"/>
        </w:rPr>
        <w:t xml:space="preserve">  第二节技术标准规范、技术要求</w:t>
      </w:r>
    </w:p>
    <w:p>
      <w:pPr>
        <w:jc w:val="center"/>
        <w:rPr>
          <w:rFonts w:hint="eastAsia"/>
          <w:lang w:val="en-US" w:eastAsia="zh-CN"/>
        </w:rPr>
      </w:pPr>
      <w:r>
        <w:rPr>
          <w:rFonts w:hint="eastAsia"/>
          <w:sz w:val="36"/>
          <w:szCs w:val="36"/>
          <w:lang w:val="en-US" w:eastAsia="zh-CN"/>
        </w:rPr>
        <w:t>电磁式体外冲击波碎石机</w:t>
      </w:r>
    </w:p>
    <w:p>
      <w:pPr>
        <w:pStyle w:val="3"/>
        <w:keepNext/>
        <w:keepLines/>
        <w:pageBreakBefore w:val="0"/>
        <w:widowControl w:val="0"/>
        <w:kinsoku/>
        <w:wordWrap/>
        <w:overflowPunct/>
        <w:topLinePunct w:val="0"/>
        <w:autoSpaceDE/>
        <w:autoSpaceDN/>
        <w:bidi w:val="0"/>
        <w:adjustRightInd/>
        <w:snapToGrid w:val="0"/>
        <w:spacing w:before="120" w:beforeLines="0" w:after="157" w:afterLines="50" w:line="240" w:lineRule="auto"/>
        <w:ind w:left="0" w:leftChars="0" w:right="0" w:rightChars="0" w:firstLine="0" w:firstLineChars="0"/>
        <w:jc w:val="center"/>
        <w:textAlignment w:val="auto"/>
        <w:outlineLvl w:val="0"/>
        <w:rPr>
          <w:rFonts w:hint="eastAsia" w:ascii="PMingLiU" w:hAnsi="PMingLiU" w:eastAsia="PMingLiU" w:cs="PMingLiU"/>
          <w:color w:val="auto"/>
          <w:sz w:val="36"/>
          <w:szCs w:val="36"/>
        </w:rPr>
      </w:pPr>
      <w:r>
        <w:rPr>
          <w:rFonts w:hint="eastAsia" w:ascii="PMingLiU" w:hAnsi="PMingLiU" w:eastAsia="PMingLiU" w:cs="PMingLiU"/>
          <w:color w:val="auto"/>
          <w:sz w:val="36"/>
          <w:szCs w:val="36"/>
          <w:lang w:eastAsia="zh-CN"/>
        </w:rPr>
        <w:t>配置</w:t>
      </w:r>
      <w:r>
        <w:rPr>
          <w:rFonts w:hint="eastAsia" w:ascii="PMingLiU" w:hAnsi="PMingLiU" w:eastAsia="PMingLiU" w:cs="PMingLiU"/>
          <w:color w:val="auto"/>
          <w:sz w:val="36"/>
          <w:szCs w:val="36"/>
        </w:rPr>
        <w:t>清单</w:t>
      </w:r>
    </w:p>
    <w:p>
      <w:pPr>
        <w:rPr>
          <w:rFonts w:hint="eastAsia"/>
          <w:sz w:val="18"/>
          <w:szCs w:val="20"/>
        </w:rPr>
      </w:pPr>
    </w:p>
    <w:tbl>
      <w:tblPr>
        <w:tblStyle w:val="15"/>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6"/>
        <w:gridCol w:w="4824"/>
        <w:gridCol w:w="1206"/>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kern w:val="0"/>
                <w:sz w:val="22"/>
                <w:szCs w:val="22"/>
                <w:u w:val="none"/>
                <w:lang w:val="en-US" w:eastAsia="zh-CN" w:bidi="ar"/>
              </w:rPr>
            </w:pPr>
            <w:r>
              <w:rPr>
                <w:rFonts w:hint="eastAsia" w:ascii="PMingLiU" w:hAnsi="PMingLiU" w:eastAsia="PMingLiU" w:cs="PMingLiU"/>
                <w:i w:val="0"/>
                <w:color w:val="000000"/>
                <w:kern w:val="0"/>
                <w:sz w:val="22"/>
                <w:szCs w:val="22"/>
                <w:u w:val="none"/>
                <w:lang w:val="en-US" w:eastAsia="zh-CN" w:bidi="ar"/>
              </w:rPr>
              <w:t>序号</w:t>
            </w:r>
          </w:p>
        </w:tc>
        <w:tc>
          <w:tcPr>
            <w:tcW w:w="48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PMingLiU" w:hAnsi="PMingLiU" w:eastAsia="PMingLiU" w:cs="PMingLiU"/>
                <w:i w:val="0"/>
                <w:color w:val="000000"/>
                <w:kern w:val="0"/>
                <w:sz w:val="22"/>
                <w:szCs w:val="22"/>
                <w:u w:val="none"/>
                <w:lang w:val="en-US" w:eastAsia="zh-CN" w:bidi="ar"/>
              </w:rPr>
            </w:pPr>
            <w:r>
              <w:rPr>
                <w:rFonts w:hint="eastAsia" w:ascii="PMingLiU" w:hAnsi="PMingLiU" w:eastAsia="PMingLiU" w:cs="PMingLiU"/>
                <w:i w:val="0"/>
                <w:color w:val="000000"/>
                <w:kern w:val="0"/>
                <w:sz w:val="22"/>
                <w:szCs w:val="22"/>
                <w:u w:val="none"/>
                <w:lang w:val="en-US" w:eastAsia="zh-CN" w:bidi="ar"/>
              </w:rPr>
              <w:t>内容</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kern w:val="0"/>
                <w:sz w:val="22"/>
                <w:szCs w:val="22"/>
                <w:u w:val="none"/>
                <w:lang w:val="en-US" w:eastAsia="zh-CN" w:bidi="ar"/>
              </w:rPr>
            </w:pPr>
            <w:r>
              <w:rPr>
                <w:rFonts w:hint="eastAsia" w:ascii="PMingLiU" w:hAnsi="PMingLiU" w:eastAsia="PMingLiU" w:cs="PMingLiU"/>
                <w:i w:val="0"/>
                <w:color w:val="000000"/>
                <w:kern w:val="0"/>
                <w:sz w:val="22"/>
                <w:szCs w:val="22"/>
                <w:u w:val="none"/>
                <w:lang w:val="en-US" w:eastAsia="zh-CN" w:bidi="ar"/>
              </w:rPr>
              <w:t>数量</w:t>
            </w: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宋体" w:cs="PMingLiU"/>
                <w:i w:val="0"/>
                <w:color w:val="000000"/>
                <w:sz w:val="22"/>
                <w:szCs w:val="22"/>
                <w:u w:val="none"/>
                <w:lang w:eastAsia="zh-CN"/>
              </w:rPr>
            </w:pPr>
            <w:r>
              <w:rPr>
                <w:rFonts w:hint="eastAsia" w:ascii="PMingLiU" w:hAnsi="PMingLiU" w:eastAsia="宋体" w:cs="PMingLiU"/>
                <w:i w:val="0"/>
                <w:color w:val="000000"/>
                <w:sz w:val="22"/>
                <w:szCs w:val="22"/>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9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宋体" w:cs="PMingLiU"/>
                <w:i w:val="0"/>
                <w:color w:val="000000"/>
                <w:sz w:val="22"/>
                <w:szCs w:val="22"/>
                <w:u w:val="none"/>
                <w:lang w:val="en-US" w:eastAsia="zh-CN"/>
              </w:rPr>
            </w:pPr>
            <w:r>
              <w:rPr>
                <w:rFonts w:hint="eastAsia" w:ascii="PMingLiU" w:hAnsi="PMingLiU" w:eastAsia="宋体" w:cs="PMingLiU"/>
                <w:i w:val="0"/>
                <w:color w:val="000000"/>
                <w:sz w:val="22"/>
                <w:szCs w:val="22"/>
                <w:u w:val="none"/>
                <w:lang w:val="en-US" w:eastAsia="zh-CN"/>
              </w:rPr>
              <w:t>1</w:t>
            </w:r>
          </w:p>
        </w:tc>
        <w:tc>
          <w:tcPr>
            <w:tcW w:w="48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 xml:space="preserve"> </w:t>
            </w:r>
            <w:r>
              <w:rPr>
                <w:rFonts w:hint="eastAsia" w:ascii="PMingLiU" w:hAnsi="PMingLiU" w:eastAsia="宋体" w:cs="PMingLiU"/>
                <w:i w:val="0"/>
                <w:color w:val="000000"/>
                <w:kern w:val="0"/>
                <w:sz w:val="22"/>
                <w:szCs w:val="22"/>
                <w:u w:val="none"/>
                <w:lang w:val="en-US" w:eastAsia="zh-CN" w:bidi="ar"/>
              </w:rPr>
              <w:t>电磁式体外冲击波碎石机</w:t>
            </w:r>
            <w:r>
              <w:rPr>
                <w:rFonts w:hint="eastAsia" w:ascii="PMingLiU" w:hAnsi="PMingLiU" w:eastAsia="PMingLiU" w:cs="PMingLiU"/>
                <w:i w:val="0"/>
                <w:color w:val="000000"/>
                <w:kern w:val="0"/>
                <w:sz w:val="22"/>
                <w:szCs w:val="22"/>
                <w:u w:val="none"/>
                <w:lang w:val="en-US" w:eastAsia="zh-CN" w:bidi="ar"/>
              </w:rPr>
              <w:t xml:space="preserve">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一套</w:t>
            </w: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956"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PMingLiU" w:hAnsi="PMingLiU" w:eastAsia="宋体" w:cs="PMingLiU"/>
                <w:i w:val="0"/>
                <w:color w:val="000000"/>
                <w:sz w:val="22"/>
                <w:szCs w:val="22"/>
                <w:u w:val="none"/>
                <w:lang w:val="en-US" w:eastAsia="zh-CN"/>
              </w:rPr>
            </w:pPr>
            <w:r>
              <w:rPr>
                <w:rFonts w:hint="eastAsia" w:ascii="PMingLiU" w:hAnsi="PMingLiU" w:eastAsia="宋体" w:cs="PMingLiU"/>
                <w:i w:val="0"/>
                <w:color w:val="000000"/>
                <w:sz w:val="22"/>
                <w:szCs w:val="22"/>
                <w:u w:val="none"/>
                <w:lang w:val="en-US" w:eastAsia="zh-CN"/>
              </w:rPr>
              <w:t>2</w:t>
            </w:r>
          </w:p>
        </w:tc>
        <w:tc>
          <w:tcPr>
            <w:tcW w:w="48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 xml:space="preserve">       </w:t>
            </w:r>
            <w:r>
              <w:rPr>
                <w:rFonts w:hint="eastAsia" w:ascii="PMingLiU" w:hAnsi="PMingLiU" w:eastAsia="PMingLiU" w:cs="PMingLiU"/>
                <w:i w:val="0"/>
                <w:color w:val="auto"/>
                <w:kern w:val="0"/>
                <w:sz w:val="22"/>
                <w:szCs w:val="22"/>
                <w:u w:val="none"/>
                <w:lang w:val="en-US" w:eastAsia="zh-CN" w:bidi="ar"/>
              </w:rPr>
              <w:t xml:space="preserve">治疗床 </w:t>
            </w:r>
            <w:r>
              <w:rPr>
                <w:rFonts w:hint="eastAsia" w:ascii="PMingLiU" w:hAnsi="PMingLiU" w:eastAsia="PMingLiU" w:cs="PMingLiU"/>
                <w:i w:val="0"/>
                <w:color w:val="000000"/>
                <w:kern w:val="0"/>
                <w:sz w:val="22"/>
                <w:szCs w:val="22"/>
                <w:u w:val="none"/>
                <w:lang w:val="en-US" w:eastAsia="zh-CN" w:bidi="ar"/>
              </w:rPr>
              <w:t xml:space="preserve">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一张</w:t>
            </w: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956"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PMingLiU" w:hAnsi="PMingLiU" w:eastAsia="宋体" w:cs="PMingLiU"/>
                <w:i w:val="0"/>
                <w:color w:val="000000"/>
                <w:sz w:val="22"/>
                <w:szCs w:val="22"/>
                <w:u w:val="none"/>
                <w:lang w:val="en-US" w:eastAsia="zh-CN"/>
              </w:rPr>
            </w:pPr>
            <w:r>
              <w:rPr>
                <w:rFonts w:hint="eastAsia" w:ascii="PMingLiU" w:hAnsi="PMingLiU" w:eastAsia="宋体" w:cs="PMingLiU"/>
                <w:i w:val="0"/>
                <w:color w:val="000000"/>
                <w:sz w:val="22"/>
                <w:szCs w:val="22"/>
                <w:u w:val="none"/>
                <w:lang w:val="en-US" w:eastAsia="zh-CN"/>
              </w:rPr>
              <w:t>3</w:t>
            </w:r>
          </w:p>
        </w:tc>
        <w:tc>
          <w:tcPr>
            <w:tcW w:w="48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 xml:space="preserve"> 测试皮囊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二个</w:t>
            </w: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956"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PMingLiU" w:hAnsi="PMingLiU" w:eastAsia="宋体" w:cs="PMingLiU"/>
                <w:i w:val="0"/>
                <w:color w:val="000000"/>
                <w:sz w:val="22"/>
                <w:szCs w:val="22"/>
                <w:u w:val="none"/>
                <w:lang w:val="en-US" w:eastAsia="zh-CN"/>
              </w:rPr>
            </w:pPr>
            <w:r>
              <w:rPr>
                <w:rFonts w:hint="eastAsia" w:ascii="PMingLiU" w:hAnsi="PMingLiU" w:eastAsia="宋体" w:cs="PMingLiU"/>
                <w:i w:val="0"/>
                <w:color w:val="000000"/>
                <w:sz w:val="22"/>
                <w:szCs w:val="22"/>
                <w:u w:val="none"/>
                <w:lang w:val="en-US" w:eastAsia="zh-CN"/>
              </w:rPr>
              <w:t>4</w:t>
            </w:r>
          </w:p>
        </w:tc>
        <w:tc>
          <w:tcPr>
            <w:tcW w:w="48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 xml:space="preserve"> 定位B超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一台</w:t>
            </w: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PMingLiU" w:hAnsi="PMingLiU" w:eastAsia="PMingLiU" w:cs="PMingLiU"/>
                <w:i w:val="0"/>
                <w:color w:val="000000"/>
                <w:sz w:val="22"/>
                <w:szCs w:val="22"/>
                <w:u w:val="none"/>
              </w:rPr>
            </w:pPr>
          </w:p>
        </w:tc>
      </w:tr>
    </w:tbl>
    <w:p>
      <w:pPr>
        <w:jc w:val="center"/>
        <w:rPr>
          <w:rFonts w:hint="eastAsia"/>
          <w:b/>
          <w:bCs/>
          <w:sz w:val="32"/>
          <w:szCs w:val="32"/>
          <w:lang w:val="en-US" w:eastAsia="zh-CN"/>
        </w:rPr>
      </w:pPr>
      <w:r>
        <w:rPr>
          <w:rFonts w:hint="eastAsia"/>
          <w:b/>
          <w:bCs/>
          <w:sz w:val="32"/>
          <w:szCs w:val="32"/>
          <w:lang w:val="en-US" w:eastAsia="zh-CN"/>
        </w:rPr>
        <w:t>主要参数：</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b/>
          <w:color w:val="auto"/>
          <w:kern w:val="2"/>
          <w:sz w:val="24"/>
          <w:szCs w:val="24"/>
          <w:lang w:val="en-US" w:eastAsia="zh-CN" w:bidi="ar-SA"/>
        </w:rPr>
      </w:pPr>
      <w:r>
        <w:rPr>
          <w:rFonts w:hint="eastAsia" w:ascii="PMingLiU" w:hAnsi="PMingLiU" w:eastAsia="PMingLiU" w:cs="PMingLiU"/>
          <w:b/>
          <w:color w:val="auto"/>
          <w:kern w:val="2"/>
          <w:sz w:val="24"/>
          <w:szCs w:val="24"/>
          <w:lang w:val="en-US" w:eastAsia="zh-CN" w:bidi="ar-SA"/>
        </w:rPr>
        <w:t>一、冲击波发生系统</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120" w:leftChars="57" w:right="286" w:rightChars="136" w:firstLine="120" w:firstLineChars="50"/>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sz w:val="24"/>
          <w:szCs w:val="24"/>
          <w:u w:val="none"/>
          <w:lang w:val="en-US" w:eastAsia="zh-CN"/>
        </w:rPr>
        <w:t>1、</w:t>
      </w:r>
      <w:r>
        <w:rPr>
          <w:rFonts w:hint="eastAsia" w:ascii="PMingLiU" w:hAnsi="PMingLiU" w:eastAsia="PMingLiU" w:cs="PMingLiU"/>
          <w:color w:val="auto"/>
          <w:kern w:val="2"/>
          <w:sz w:val="22"/>
          <w:szCs w:val="22"/>
          <w:lang w:val="en-US" w:eastAsia="zh-CN" w:bidi="ar-SA"/>
        </w:rPr>
        <w:t>焦点距离：工作焦点与反射体上端口平面的距离：132土2mm</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10" w:leftChars="-57" w:right="286" w:rightChars="136" w:hanging="110" w:hangingChars="50"/>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 xml:space="preserve">   2、工作焦点的冲击波聚焦范围：径</w:t>
      </w:r>
      <w:r>
        <w:rPr>
          <w:rFonts w:hint="eastAsia" w:ascii="PMingLiU" w:hAnsi="PMingLiU" w:eastAsia="PMingLiU" w:cs="PMingLiU"/>
          <w:color w:val="auto"/>
          <w:sz w:val="22"/>
          <w:szCs w:val="22"/>
          <w:lang w:val="en-US" w:eastAsia="zh-CN"/>
        </w:rPr>
        <w:t>向≤土10㎜  轴向≤土80㎜</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color w:val="000000" w:themeColor="text1"/>
          <w:kern w:val="2"/>
          <w:sz w:val="22"/>
          <w:szCs w:val="22"/>
          <w:lang w:val="en-US" w:eastAsia="zh-CN" w:bidi="ar-SA"/>
        </w:rPr>
      </w:pPr>
      <w:r>
        <w:rPr>
          <w:rFonts w:hint="eastAsia" w:ascii="PMingLiU" w:hAnsi="PMingLiU" w:eastAsia="PMingLiU" w:cs="PMingLiU"/>
          <w:color w:val="auto"/>
          <w:kern w:val="2"/>
          <w:sz w:val="22"/>
          <w:szCs w:val="22"/>
          <w:lang w:val="en-US" w:eastAsia="zh-CN" w:bidi="ar-SA"/>
        </w:rPr>
        <w:t xml:space="preserve">  3、冲击波半高脉宽：</w:t>
      </w:r>
      <w:r>
        <w:rPr>
          <w:rFonts w:hint="eastAsia" w:ascii="PMingLiU" w:hAnsi="PMingLiU" w:eastAsia="PMingLiU" w:cs="PMingLiU"/>
          <w:color w:val="000000" w:themeColor="text1"/>
          <w:kern w:val="2"/>
          <w:sz w:val="22"/>
          <w:szCs w:val="22"/>
          <w:lang w:val="en-US" w:eastAsia="zh-CN" w:bidi="ar-SA"/>
        </w:rPr>
        <w:t xml:space="preserve"> ≤ 1μs</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color w:val="000000" w:themeColor="text1"/>
          <w:kern w:val="2"/>
          <w:sz w:val="22"/>
          <w:szCs w:val="22"/>
          <w:lang w:val="en-US" w:eastAsia="zh-CN" w:bidi="ar-SA"/>
        </w:rPr>
      </w:pPr>
      <w:r>
        <w:rPr>
          <w:rFonts w:hint="eastAsia" w:ascii="PMingLiU" w:hAnsi="PMingLiU" w:eastAsia="PMingLiU" w:cs="PMingLiU"/>
          <w:color w:val="000000" w:themeColor="text1"/>
          <w:kern w:val="2"/>
          <w:sz w:val="22"/>
          <w:szCs w:val="22"/>
          <w:lang w:val="en-US" w:eastAsia="zh-CN" w:bidi="ar-SA"/>
        </w:rPr>
        <w:t xml:space="preserve">  4、冲击波前沿： ≤ 0.5μs</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color w:val="000000" w:themeColor="text1"/>
          <w:kern w:val="2"/>
          <w:sz w:val="22"/>
          <w:szCs w:val="22"/>
          <w:lang w:val="en-US" w:eastAsia="zh-CN" w:bidi="ar-SA"/>
        </w:rPr>
      </w:pPr>
      <w:r>
        <w:rPr>
          <w:rFonts w:hint="eastAsia" w:ascii="PMingLiU" w:hAnsi="PMingLiU" w:eastAsia="PMingLiU" w:cs="PMingLiU"/>
          <w:color w:val="000000" w:themeColor="text1"/>
          <w:kern w:val="2"/>
          <w:sz w:val="22"/>
          <w:szCs w:val="22"/>
          <w:lang w:val="en-US" w:eastAsia="zh-CN" w:bidi="ar-SA"/>
        </w:rPr>
        <w:t xml:space="preserve">  5、冲击波的最大收缩压力： 20～130 MPa</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color w:val="000000" w:themeColor="text1"/>
          <w:kern w:val="2"/>
          <w:sz w:val="22"/>
          <w:szCs w:val="22"/>
          <w:lang w:val="en-US" w:eastAsia="zh-CN" w:bidi="ar-SA"/>
        </w:rPr>
      </w:pPr>
      <w:r>
        <w:rPr>
          <w:rFonts w:hint="eastAsia" w:ascii="PMingLiU" w:hAnsi="PMingLiU" w:eastAsia="PMingLiU" w:cs="PMingLiU"/>
          <w:color w:val="000000" w:themeColor="text1"/>
          <w:kern w:val="2"/>
          <w:sz w:val="22"/>
          <w:szCs w:val="22"/>
          <w:lang w:val="en-US" w:eastAsia="zh-CN" w:bidi="ar-SA"/>
        </w:rPr>
        <w:t xml:space="preserve">     冲击波的最大膨胀压力： ≤15 MPa</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color w:val="000000" w:themeColor="text1"/>
          <w:kern w:val="2"/>
          <w:sz w:val="22"/>
          <w:szCs w:val="22"/>
          <w:lang w:val="en-US" w:eastAsia="zh-CN" w:bidi="ar-SA"/>
        </w:rPr>
      </w:pPr>
      <w:r>
        <w:rPr>
          <w:rFonts w:hint="eastAsia" w:ascii="PMingLiU" w:hAnsi="PMingLiU" w:eastAsia="PMingLiU" w:cs="PMingLiU"/>
          <w:color w:val="000000" w:themeColor="text1"/>
          <w:kern w:val="2"/>
          <w:sz w:val="22"/>
          <w:szCs w:val="22"/>
          <w:lang w:val="en-US" w:eastAsia="zh-CN" w:bidi="ar-SA"/>
        </w:rPr>
        <w:t xml:space="preserve"> 6、高压电容总能量： 55～130焦</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1" w:leftChars="-170" w:right="286" w:rightChars="136" w:hanging="358" w:hangingChars="163"/>
        <w:jc w:val="both"/>
        <w:textAlignment w:val="auto"/>
        <w:outlineLvl w:val="9"/>
        <w:rPr>
          <w:rFonts w:hint="eastAsia" w:ascii="PMingLiU" w:hAnsi="PMingLiU" w:eastAsia="PMingLiU" w:cs="PMingLiU"/>
          <w:color w:val="000000" w:themeColor="text1"/>
          <w:kern w:val="2"/>
          <w:sz w:val="22"/>
          <w:szCs w:val="22"/>
          <w:lang w:val="en-US" w:eastAsia="zh-CN" w:bidi="ar-SA"/>
        </w:rPr>
      </w:pPr>
      <w:r>
        <w:rPr>
          <w:rFonts w:hint="eastAsia" w:ascii="PMingLiU" w:hAnsi="PMingLiU" w:eastAsia="PMingLiU" w:cs="PMingLiU"/>
          <w:color w:val="000000" w:themeColor="text1"/>
          <w:kern w:val="2"/>
          <w:sz w:val="22"/>
          <w:szCs w:val="22"/>
          <w:lang w:val="en-US" w:eastAsia="zh-CN" w:bidi="ar-SA"/>
        </w:rPr>
        <w:t xml:space="preserve">    7、采用高电压，低电容组合，工作更安全、更高效：</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917" w:leftChars="266" w:right="286" w:rightChars="136" w:hanging="358" w:hangingChars="163"/>
        <w:jc w:val="both"/>
        <w:textAlignment w:val="auto"/>
        <w:outlineLvl w:val="9"/>
        <w:rPr>
          <w:rFonts w:hint="eastAsia" w:ascii="PMingLiU" w:hAnsi="PMingLiU" w:eastAsia="PMingLiU" w:cs="PMingLiU"/>
          <w:b/>
          <w:bCs/>
          <w:color w:val="000000" w:themeColor="text1"/>
          <w:sz w:val="24"/>
          <w:szCs w:val="24"/>
          <w:vertAlign w:val="baseline"/>
          <w:lang w:val="en-US" w:eastAsia="zh-CN"/>
        </w:rPr>
      </w:pPr>
      <w:r>
        <w:rPr>
          <w:rFonts w:hint="eastAsia" w:ascii="PMingLiU" w:hAnsi="PMingLiU" w:eastAsia="PMingLiU" w:cs="PMingLiU"/>
          <w:color w:val="000000" w:themeColor="text1"/>
          <w:kern w:val="2"/>
          <w:sz w:val="22"/>
          <w:szCs w:val="22"/>
          <w:lang w:val="en-US" w:eastAsia="zh-CN" w:bidi="ar-SA"/>
        </w:rPr>
        <w:t xml:space="preserve">   </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 xml:space="preserve">  8、冲击波脉冲触发控制：</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 xml:space="preserve">     a、触发方式： 手动、自动</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 xml:space="preserve">    b、计数方式：数码显示，加法计数，自动时暂停次数两档可调</w:t>
      </w:r>
      <w:r>
        <w:rPr>
          <w:rFonts w:hint="default" w:ascii="PMingLiU" w:hAnsi="PMingLiU" w:eastAsia="PMingLiU" w:cs="PMingLiU"/>
          <w:color w:val="auto"/>
          <w:kern w:val="2"/>
          <w:sz w:val="22"/>
          <w:szCs w:val="22"/>
          <w:lang w:val="en-US" w:eastAsia="zh-CN" w:bidi="ar-SA"/>
        </w:rPr>
        <w:t>(200</w:t>
      </w:r>
      <w:r>
        <w:rPr>
          <w:rFonts w:hint="eastAsia" w:ascii="PMingLiU" w:hAnsi="PMingLiU" w:cs="PMingLiU"/>
          <w:color w:val="auto"/>
          <w:kern w:val="2"/>
          <w:sz w:val="22"/>
          <w:szCs w:val="22"/>
          <w:lang w:val="en-US" w:eastAsia="zh-CN" w:bidi="ar-SA"/>
        </w:rPr>
        <w:t>次、500次）</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 xml:space="preserve">     c、触发频率：30—65  次/分钟，7挡可调</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132" w:right="286" w:rightChars="136" w:hanging="277" w:hangingChars="126"/>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 xml:space="preserve">    9、反射缸体可上下翻转0°～180°；摆动0°～90°;伸缩0°～26°运动方式全面、多样化，满足临床医师各种使用习惯</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132" w:right="286" w:rightChars="136" w:hanging="277" w:hangingChars="126"/>
        <w:jc w:val="both"/>
        <w:textAlignment w:val="auto"/>
        <w:outlineLvl w:val="9"/>
        <w:rPr>
          <w:rFonts w:hint="eastAsia" w:ascii="PMingLiU" w:hAnsi="PMingLiU" w:eastAsia="PMingLiU" w:cs="PMingLiU"/>
          <w:color w:val="000000" w:themeColor="text1"/>
          <w:kern w:val="2"/>
          <w:sz w:val="22"/>
          <w:szCs w:val="22"/>
          <w:lang w:val="en-US" w:eastAsia="zh-CN" w:bidi="ar-SA"/>
        </w:rPr>
      </w:pPr>
      <w:r>
        <w:rPr>
          <w:rFonts w:hint="eastAsia" w:ascii="PMingLiU" w:hAnsi="PMingLiU" w:eastAsia="PMingLiU" w:cs="PMingLiU"/>
          <w:color w:val="auto"/>
          <w:kern w:val="2"/>
          <w:sz w:val="22"/>
          <w:szCs w:val="22"/>
          <w:lang w:val="en-US" w:eastAsia="zh-CN" w:bidi="ar-SA"/>
        </w:rPr>
        <w:t xml:space="preserve">    10、</w:t>
      </w:r>
      <w:r>
        <w:rPr>
          <w:rFonts w:hint="eastAsia" w:ascii="PMingLiU" w:hAnsi="PMingLiU" w:eastAsia="PMingLiU" w:cs="PMingLiU"/>
          <w:color w:val="000000" w:themeColor="text1"/>
          <w:kern w:val="2"/>
          <w:sz w:val="22"/>
          <w:szCs w:val="22"/>
          <w:lang w:val="en-US" w:eastAsia="zh-CN" w:bidi="ar-SA"/>
        </w:rPr>
        <w:t xml:space="preserve">电磁盘：放电次数 ≥50万 </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132" w:right="286" w:rightChars="136" w:hanging="277" w:hangingChars="126"/>
        <w:jc w:val="both"/>
        <w:textAlignment w:val="auto"/>
        <w:outlineLvl w:val="9"/>
        <w:rPr>
          <w:rFonts w:hint="eastAsia" w:ascii="PMingLiU" w:hAnsi="PMingLiU" w:eastAsia="PMingLiU" w:cs="PMingLiU"/>
          <w:color w:val="000000" w:themeColor="text1"/>
          <w:kern w:val="2"/>
          <w:sz w:val="22"/>
          <w:szCs w:val="22"/>
          <w:lang w:val="en-US" w:eastAsia="zh-CN" w:bidi="ar-SA"/>
        </w:rPr>
      </w:pPr>
      <w:r>
        <w:rPr>
          <w:rFonts w:hint="eastAsia" w:ascii="PMingLiU" w:hAnsi="PMingLiU" w:eastAsia="PMingLiU" w:cs="PMingLiU"/>
          <w:color w:val="000000" w:themeColor="text1"/>
          <w:kern w:val="2"/>
          <w:sz w:val="22"/>
          <w:szCs w:val="22"/>
          <w:lang w:val="en-US" w:eastAsia="zh-CN" w:bidi="ar-SA"/>
        </w:rPr>
        <w:t xml:space="preserve">    11、结石粉碎后的最大颗粒：≤3mm</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color w:val="auto"/>
          <w:kern w:val="2"/>
          <w:sz w:val="22"/>
          <w:szCs w:val="22"/>
          <w:lang w:val="en-US" w:eastAsia="zh-CN" w:bidi="ar-SA"/>
        </w:rPr>
      </w:pP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b/>
          <w:color w:val="auto"/>
          <w:kern w:val="2"/>
          <w:sz w:val="24"/>
          <w:szCs w:val="24"/>
          <w:lang w:val="en-US" w:eastAsia="zh-CN" w:bidi="ar-SA"/>
        </w:rPr>
      </w:pPr>
      <w:r>
        <w:rPr>
          <w:rFonts w:hint="eastAsia" w:ascii="PMingLiU" w:hAnsi="PMingLiU" w:eastAsia="PMingLiU" w:cs="PMingLiU"/>
          <w:b/>
          <w:bCs/>
          <w:color w:val="auto"/>
          <w:sz w:val="24"/>
          <w:szCs w:val="24"/>
          <w:lang w:eastAsia="zh-CN"/>
        </w:rPr>
        <w:t>二</w:t>
      </w:r>
      <w:r>
        <w:rPr>
          <w:rFonts w:hint="eastAsia" w:ascii="PMingLiU" w:hAnsi="PMingLiU" w:eastAsia="PMingLiU" w:cs="PMingLiU"/>
          <w:b/>
          <w:bCs/>
          <w:color w:val="auto"/>
          <w:kern w:val="2"/>
          <w:sz w:val="24"/>
          <w:szCs w:val="24"/>
          <w:lang w:val="en-US" w:eastAsia="zh-CN" w:bidi="ar-SA"/>
        </w:rPr>
        <w:t>、B超定位系统</w:t>
      </w:r>
      <w:r>
        <w:rPr>
          <w:rFonts w:hint="eastAsia" w:ascii="PMingLiU" w:hAnsi="PMingLiU" w:eastAsia="PMingLiU" w:cs="PMingLiU"/>
          <w:color w:val="auto"/>
          <w:kern w:val="2"/>
          <w:sz w:val="22"/>
          <w:szCs w:val="22"/>
          <w:lang w:val="en-US" w:eastAsia="zh-CN" w:bidi="ar-SA"/>
        </w:rPr>
        <w:t xml:space="preserve">  </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28" w:right="286" w:rightChars="136" w:hanging="59" w:hangingChars="27"/>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 xml:space="preserve">  1、B超探头定位调节机构，可绕轴进行自由度调整，全方位定位结石，快速准确</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right="286" w:rightChars="136" w:firstLine="220" w:firstLineChars="100"/>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2、B超探头推动装置电动控制，数码显示，方便医生操作。</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28" w:right="286" w:rightChars="136" w:hanging="59" w:hangingChars="27"/>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 xml:space="preserve">  3、B超支架的机定位误差： ≤2mm</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28" w:right="286" w:rightChars="136" w:hanging="59" w:hangingChars="27"/>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 xml:space="preserve">  4、B超图像分辨率：B超诊断仪由用户自行配置，应要求其分辨率为：</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28" w:right="286" w:rightChars="136" w:hanging="59" w:hangingChars="27"/>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 xml:space="preserve">        纵向分辨率：≤2mm                 横向分辨率：≤3mm</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color w:val="auto"/>
          <w:kern w:val="2"/>
          <w:sz w:val="22"/>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286" w:rightChars="136"/>
        <w:jc w:val="both"/>
        <w:textAlignment w:val="auto"/>
        <w:outlineLvl w:val="9"/>
        <w:rPr>
          <w:rFonts w:hint="eastAsia" w:ascii="PMingLiU" w:hAnsi="PMingLiU" w:eastAsia="PMingLiU" w:cs="PMingLiU"/>
          <w:b/>
          <w:bCs/>
          <w:color w:val="auto"/>
          <w:kern w:val="2"/>
          <w:sz w:val="24"/>
          <w:szCs w:val="24"/>
          <w:lang w:val="en-US" w:eastAsia="zh-CN" w:bidi="ar-SA"/>
        </w:rPr>
      </w:pPr>
      <w:r>
        <w:rPr>
          <w:rFonts w:hint="eastAsia" w:ascii="PMingLiU" w:hAnsi="PMingLiU" w:eastAsia="PMingLiU" w:cs="PMingLiU"/>
          <w:b/>
          <w:bCs/>
          <w:color w:val="auto"/>
          <w:kern w:val="2"/>
          <w:sz w:val="24"/>
          <w:szCs w:val="24"/>
          <w:lang w:val="en-US" w:eastAsia="zh-CN" w:bidi="ar-SA"/>
        </w:rPr>
        <w:t>三、治疗床系统</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47" w:right="286" w:rightChars="136" w:hanging="99" w:hangingChars="45"/>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1、具有治疗床移动装置，拥有实用新型专利证书（提供相关证书）</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47" w:right="286" w:rightChars="136" w:hanging="99" w:hangingChars="45"/>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2、床体三维六方向运动范围：</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47" w:right="286" w:rightChars="136" w:hanging="99" w:hangingChars="45"/>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 xml:space="preserve">     X轴：≥80mm   Y轴：≥80mm   Z轴：≥250mm</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47" w:right="286" w:rightChars="136" w:hanging="99" w:hangingChars="45"/>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3、床体稳定性：稳定，焦点不易偏移</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47" w:right="286" w:rightChars="136" w:hanging="99" w:hangingChars="45"/>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 xml:space="preserve">  </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47" w:right="286" w:rightChars="136" w:hanging="99" w:hangingChars="45"/>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 xml:space="preserve">  4、床体承重:≥135KG</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PMingLiU" w:hAnsi="PMingLiU" w:eastAsia="PMingLiU" w:cs="PMingLiU"/>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b/>
          <w:bCs/>
          <w:color w:val="auto"/>
          <w:kern w:val="2"/>
          <w:sz w:val="24"/>
          <w:szCs w:val="24"/>
          <w:lang w:val="en-US" w:eastAsia="zh-CN" w:bidi="ar-SA"/>
        </w:rPr>
      </w:pPr>
      <w:r>
        <w:rPr>
          <w:rFonts w:hint="eastAsia" w:ascii="PMingLiU" w:hAnsi="PMingLiU" w:eastAsia="PMingLiU" w:cs="PMingLiU"/>
          <w:b/>
          <w:bCs/>
          <w:color w:val="auto"/>
          <w:kern w:val="2"/>
          <w:sz w:val="24"/>
          <w:szCs w:val="24"/>
          <w:lang w:val="en-US" w:eastAsia="zh-CN" w:bidi="ar-SA"/>
        </w:rPr>
        <w:t>四、控制系统</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1" w:leftChars="-28" w:right="286" w:rightChars="136" w:hanging="60" w:hangingChars="25"/>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sz w:val="24"/>
          <w:szCs w:val="24"/>
          <w:lang w:val="en-US" w:eastAsia="zh-CN"/>
        </w:rPr>
        <w:t xml:space="preserve"> </w:t>
      </w:r>
      <w:r>
        <w:rPr>
          <w:rFonts w:hint="eastAsia" w:ascii="PMingLiU" w:hAnsi="PMingLiU" w:eastAsia="PMingLiU" w:cs="PMingLiU"/>
          <w:color w:val="auto"/>
          <w:kern w:val="2"/>
          <w:sz w:val="22"/>
          <w:szCs w:val="22"/>
          <w:lang w:val="en-US" w:eastAsia="zh-CN" w:bidi="ar-SA"/>
        </w:rPr>
        <w:t xml:space="preserve"> 1、采用床身一体化操作控制系统，减少空间需求</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4" w:leftChars="-28" w:right="286" w:rightChars="136" w:hanging="55" w:hangingChars="25"/>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 xml:space="preserve">  2、人性化的操作图面指示，长寿命轻触按钮控制</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color w:val="auto"/>
          <w:kern w:val="2"/>
          <w:sz w:val="22"/>
          <w:szCs w:val="22"/>
          <w:lang w:val="en-US" w:eastAsia="zh-CN" w:bidi="ar-SA"/>
        </w:rPr>
      </w:pP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default" w:ascii="PMingLiU" w:hAnsi="PMingLiU" w:eastAsia="PMingLiU" w:cs="PMingLiU"/>
          <w:color w:val="000000" w:themeColor="text1"/>
          <w:kern w:val="2"/>
          <w:sz w:val="22"/>
          <w:szCs w:val="22"/>
          <w:lang w:val="en-US" w:eastAsia="zh-CN" w:bidi="ar-SA"/>
        </w:rPr>
      </w:pPr>
    </w:p>
    <w:p>
      <w:pPr>
        <w:rPr>
          <w:rFonts w:hint="eastAsia"/>
          <w:lang w:val="en-US" w:eastAsia="zh-CN"/>
        </w:rPr>
      </w:pPr>
    </w:p>
    <w:p>
      <w:pPr>
        <w:spacing w:line="360" w:lineRule="exact"/>
        <w:rPr>
          <w:rFonts w:hAnsi="宋体"/>
          <w:b/>
          <w:bCs/>
          <w:color w:val="000000"/>
        </w:rPr>
      </w:pPr>
    </w:p>
    <w:p>
      <w:pPr>
        <w:spacing w:line="360" w:lineRule="auto"/>
        <w:ind w:firstLine="211" w:firstLineChars="100"/>
        <w:rPr>
          <w:rFonts w:ascii="宋体"/>
          <w:b/>
          <w:bCs/>
          <w:color w:val="FF0000"/>
          <w:highlight w:val="yellow"/>
        </w:rPr>
      </w:pPr>
    </w:p>
    <w:p>
      <w:pPr>
        <w:spacing w:line="360" w:lineRule="auto"/>
        <w:rPr>
          <w:rFonts w:ascii="宋体" w:hAnsi="宋体"/>
          <w:color w:val="FF0000"/>
        </w:rPr>
      </w:pPr>
      <w:r>
        <w:rPr>
          <w:rFonts w:hint="eastAsia" w:ascii="宋体" w:hAnsi="宋体"/>
          <w:color w:val="FF0000"/>
        </w:rPr>
        <w:t>注：以上技术参数仅供参考，投标人应提供优于或等于以上技术参数的产品。</w:t>
      </w:r>
    </w:p>
    <w:p>
      <w:pPr>
        <w:spacing w:line="360" w:lineRule="auto"/>
        <w:rPr>
          <w:rFonts w:ascii="宋体" w:hAnsi="宋体"/>
          <w:color w:val="FF0000"/>
        </w:rPr>
      </w:pPr>
    </w:p>
    <w:p>
      <w:pPr>
        <w:rPr>
          <w:b/>
          <w:sz w:val="24"/>
          <w:szCs w:val="24"/>
        </w:rPr>
      </w:pPr>
      <w:r>
        <w:rPr>
          <w:b/>
          <w:sz w:val="24"/>
          <w:szCs w:val="24"/>
        </w:rPr>
        <w:t>二、项目的其他各项要求</w:t>
      </w:r>
    </w:p>
    <w:p>
      <w:pPr>
        <w:spacing w:line="360" w:lineRule="auto"/>
        <w:ind w:left="720"/>
        <w:rPr>
          <w:rFonts w:ascii="宋体" w:cs="宋体"/>
          <w:b/>
          <w:bCs/>
          <w:color w:val="000000"/>
        </w:rPr>
      </w:pPr>
    </w:p>
    <w:p>
      <w:pPr>
        <w:numPr>
          <w:ilvl w:val="0"/>
          <w:numId w:val="1"/>
        </w:numPr>
        <w:spacing w:line="360" w:lineRule="auto"/>
        <w:rPr>
          <w:rFonts w:ascii="宋体" w:cs="宋体"/>
          <w:b/>
          <w:bCs/>
          <w:color w:val="000000"/>
        </w:rPr>
      </w:pPr>
      <w:r>
        <w:rPr>
          <w:rFonts w:hint="eastAsia" w:ascii="宋体" w:cs="宋体"/>
          <w:b/>
          <w:bCs/>
          <w:color w:val="000000"/>
        </w:rPr>
        <w:t>售后要求：</w:t>
      </w:r>
    </w:p>
    <w:p>
      <w:pPr>
        <w:spacing w:line="360" w:lineRule="auto"/>
        <w:rPr>
          <w:rFonts w:ascii="宋体" w:hAnsi="宋体" w:cs="宋体"/>
          <w:kern w:val="0"/>
        </w:rPr>
      </w:pPr>
      <w:r>
        <w:rPr>
          <w:rFonts w:hint="eastAsia" w:ascii="宋体" w:hAnsi="宋体" w:cs="宋体"/>
          <w:kern w:val="0"/>
        </w:rPr>
        <w:t>1.及时响应；</w:t>
      </w:r>
    </w:p>
    <w:p>
      <w:pPr>
        <w:spacing w:line="360" w:lineRule="auto"/>
        <w:rPr>
          <w:rFonts w:ascii="宋体" w:cs="宋体"/>
          <w:bCs/>
          <w:color w:val="000000"/>
        </w:rPr>
      </w:pPr>
      <w:r>
        <w:rPr>
          <w:rFonts w:hint="eastAsia" w:ascii="宋体" w:hAnsi="宋体" w:cs="宋体"/>
          <w:kern w:val="0"/>
        </w:rPr>
        <w:t>2.技术培训：到货后，安装设备时给予技术培训；质保期内根据需要提供技术培训或维护升级；</w:t>
      </w:r>
    </w:p>
    <w:p>
      <w:pPr>
        <w:spacing w:line="360" w:lineRule="auto"/>
        <w:rPr>
          <w:rFonts w:ascii="宋体" w:cs="宋体"/>
          <w:bCs/>
          <w:color w:val="000000"/>
        </w:rPr>
      </w:pPr>
      <w:r>
        <w:rPr>
          <w:rFonts w:hint="eastAsia" w:ascii="宋体" w:hAnsi="宋体" w:cs="宋体"/>
          <w:kern w:val="0"/>
        </w:rPr>
        <w:t>3.</w:t>
      </w:r>
      <w:r>
        <w:rPr>
          <w:rFonts w:hint="eastAsia" w:ascii="宋体" w:hAnsi="宋体" w:cs="宋体"/>
          <w:color w:val="FF0000"/>
          <w:kern w:val="0"/>
        </w:rPr>
        <w:t>免费维保期不低于</w:t>
      </w:r>
      <w:r>
        <w:rPr>
          <w:rFonts w:hint="eastAsia" w:ascii="宋体" w:hAnsi="宋体" w:cs="宋体"/>
          <w:color w:val="FF0000"/>
          <w:kern w:val="0"/>
          <w:lang w:val="en-US" w:eastAsia="zh-CN"/>
        </w:rPr>
        <w:t>2</w:t>
      </w:r>
      <w:r>
        <w:rPr>
          <w:rFonts w:hint="eastAsia" w:ascii="宋体" w:hAnsi="宋体" w:cs="宋体"/>
          <w:color w:val="FF0000"/>
          <w:kern w:val="0"/>
        </w:rPr>
        <w:t>年（原厂质保）</w:t>
      </w:r>
      <w:r>
        <w:rPr>
          <w:rFonts w:hint="eastAsia" w:ascii="宋体" w:hAnsi="宋体" w:cs="宋体"/>
          <w:kern w:val="0"/>
        </w:rPr>
        <w:t>，质保期内免费提供维修及维护。</w:t>
      </w:r>
    </w:p>
    <w:p>
      <w:pPr>
        <w:spacing w:line="360" w:lineRule="auto"/>
        <w:rPr>
          <w:rFonts w:ascii="宋体" w:cs="宋体"/>
          <w:bCs/>
          <w:color w:val="000000"/>
        </w:rPr>
      </w:pPr>
    </w:p>
    <w:p>
      <w:pPr>
        <w:spacing w:line="360" w:lineRule="auto"/>
        <w:rPr>
          <w:rFonts w:ascii="宋体" w:cs="宋体"/>
          <w:b/>
          <w:bCs/>
          <w:color w:val="000000"/>
        </w:rPr>
      </w:pPr>
      <w:r>
        <w:rPr>
          <w:rFonts w:hint="eastAsia" w:ascii="宋体" w:hAnsi="宋体" w:cs="宋体"/>
          <w:b/>
          <w:bCs/>
          <w:color w:val="000000"/>
        </w:rPr>
        <w:t>（二）项目其他要求：</w:t>
      </w:r>
      <w:r>
        <w:rPr>
          <w:rFonts w:hint="eastAsia" w:ascii="宋体" w:hAnsi="宋体" w:cs="宋体"/>
          <w:b/>
          <w:bCs/>
        </w:rPr>
        <w:t>（对照其他要求提供偏离表）</w:t>
      </w:r>
    </w:p>
    <w:p>
      <w:pPr>
        <w:spacing w:line="360" w:lineRule="auto"/>
        <w:rPr>
          <w:rFonts w:ascii="宋体" w:cs="宋体"/>
          <w:b/>
          <w:bCs/>
          <w:color w:val="000000"/>
        </w:rPr>
      </w:pPr>
      <w:r>
        <w:rPr>
          <w:rFonts w:ascii="宋体" w:hAnsi="宋体" w:cs="宋体"/>
          <w:b/>
          <w:bCs/>
          <w:color w:val="000000"/>
        </w:rPr>
        <w:t xml:space="preserve"> 1</w:t>
      </w:r>
      <w:r>
        <w:rPr>
          <w:rFonts w:hint="eastAsia" w:ascii="宋体" w:hAnsi="宋体" w:cs="宋体"/>
          <w:b/>
          <w:bCs/>
          <w:color w:val="000000"/>
        </w:rPr>
        <w:t>、项目质量要求：</w:t>
      </w:r>
    </w:p>
    <w:p>
      <w:pPr>
        <w:tabs>
          <w:tab w:val="left" w:pos="432"/>
        </w:tabs>
        <w:spacing w:line="360" w:lineRule="auto"/>
        <w:rPr>
          <w:color w:val="000000"/>
        </w:rPr>
      </w:pPr>
      <w:r>
        <w:rPr>
          <w:rFonts w:ascii="宋体" w:hAnsi="宋体" w:cs="宋体"/>
          <w:color w:val="000000"/>
        </w:rPr>
        <w:t>1.1</w:t>
      </w:r>
      <w:r>
        <w:rPr>
          <w:rFonts w:hint="eastAsia" w:ascii="宋体" w:hAnsi="宋体" w:cs="宋体"/>
          <w:color w:val="000000"/>
        </w:rPr>
        <w:t>、供应商须保证本次投标产品系优质材料和先进工艺制成</w:t>
      </w:r>
      <w:r>
        <w:rPr>
          <w:rFonts w:hint="eastAsia" w:hAnsi="宋体" w:cs="宋体"/>
          <w:color w:val="000000"/>
        </w:rPr>
        <w:t>新出厂的产品，且完全与招标响应文件所述相符。</w:t>
      </w:r>
      <w:r>
        <w:rPr>
          <w:rFonts w:hint="eastAsia" w:hAnsi="宋体" w:cs="宋体"/>
          <w:color w:val="FF0000"/>
        </w:rPr>
        <w:t>提供授权书。</w:t>
      </w:r>
    </w:p>
    <w:p>
      <w:pPr>
        <w:spacing w:line="360" w:lineRule="auto"/>
        <w:rPr>
          <w:color w:val="000000"/>
        </w:rPr>
      </w:pPr>
      <w:r>
        <w:rPr>
          <w:color w:val="000000"/>
        </w:rPr>
        <w:t>1.2</w:t>
      </w:r>
      <w:r>
        <w:rPr>
          <w:rFonts w:hint="eastAsia" w:hAnsi="宋体" w:cs="宋体"/>
          <w:color w:val="000000"/>
        </w:rPr>
        <w:t>、招标</w:t>
      </w:r>
      <w:r>
        <w:rPr>
          <w:rFonts w:hint="eastAsia" w:ascii="Times New Roman" w:hAnsi="宋体" w:eastAsia="宋体" w:cs="宋体"/>
        </w:rPr>
        <w:t>响应文件所限的型号</w:t>
      </w:r>
      <w:r>
        <w:rPr>
          <w:rFonts w:hint="eastAsia" w:hAnsi="宋体" w:cs="宋体"/>
          <w:color w:val="000000"/>
        </w:rPr>
        <w:t>不作变更，如特殊原因确需变更，则要求证明替代品更优更好且价格不得变动，</w:t>
      </w:r>
      <w:r>
        <w:rPr>
          <w:rFonts w:hint="eastAsia" w:hAnsi="宋体" w:cs="宋体"/>
        </w:rPr>
        <w:t>且须征得国有资产管理处的认可</w:t>
      </w:r>
      <w:r>
        <w:rPr>
          <w:rFonts w:hint="eastAsia" w:ascii="Times New Roman" w:hAnsi="宋体" w:eastAsia="宋体" w:cs="宋体"/>
        </w:rPr>
        <w:t>并进行合同变更。</w:t>
      </w:r>
    </w:p>
    <w:p>
      <w:pPr>
        <w:spacing w:line="360" w:lineRule="auto"/>
        <w:rPr>
          <w:color w:val="000000"/>
        </w:rPr>
      </w:pPr>
      <w:r>
        <w:rPr>
          <w:color w:val="000000"/>
        </w:rPr>
        <w:t>1.3</w:t>
      </w:r>
      <w:r>
        <w:rPr>
          <w:rFonts w:hint="eastAsia" w:hAnsi="宋体" w:cs="宋体"/>
          <w:color w:val="000000"/>
        </w:rPr>
        <w:t>、交付使用前发生的产品硬件损坏和不合格，一律退换新品。在质保期前三个月内发生的产品损坏和性能不合格（非使用不当原因造成），除采购人同意修理者外，亦应退换新品。</w:t>
      </w:r>
    </w:p>
    <w:p>
      <w:pPr>
        <w:spacing w:line="360" w:lineRule="auto"/>
        <w:rPr>
          <w:color w:val="000000"/>
        </w:rPr>
      </w:pPr>
      <w:r>
        <w:rPr>
          <w:color w:val="000000"/>
        </w:rPr>
        <w:t>1.4</w:t>
      </w:r>
      <w:r>
        <w:rPr>
          <w:rFonts w:hint="eastAsia" w:hAnsi="宋体" w:cs="宋体"/>
          <w:color w:val="000000"/>
        </w:rPr>
        <w:t>、供应商应派有资格、有经验的人员及时对安装的全过程进行监督、指导，保证安装质量为优良等级。</w:t>
      </w:r>
    </w:p>
    <w:p>
      <w:pPr>
        <w:spacing w:line="360" w:lineRule="auto"/>
        <w:rPr>
          <w:rFonts w:hint="eastAsia" w:hAnsi="宋体" w:cs="宋体"/>
          <w:color w:val="000000"/>
        </w:rPr>
      </w:pPr>
      <w:r>
        <w:rPr>
          <w:color w:val="000000"/>
        </w:rPr>
        <w:t>1.5</w:t>
      </w:r>
      <w:r>
        <w:rPr>
          <w:rFonts w:hint="eastAsia" w:hAnsi="宋体" w:cs="宋体"/>
          <w:color w:val="000000"/>
        </w:rPr>
        <w:t>、供应商所提供的产品必须完全符合国家相关标准的要求。</w:t>
      </w:r>
    </w:p>
    <w:p>
      <w:pPr>
        <w:numPr>
          <w:ilvl w:val="0"/>
          <w:numId w:val="0"/>
        </w:numPr>
        <w:jc w:val="left"/>
        <w:rPr>
          <w:rFonts w:hint="eastAsia"/>
          <w:sz w:val="28"/>
          <w:szCs w:val="28"/>
          <w:lang w:val="en-US" w:eastAsia="zh-CN"/>
        </w:rPr>
      </w:pPr>
      <w:r>
        <w:rPr>
          <w:rFonts w:hint="eastAsia" w:ascii="Times New Roman" w:hAnsi="宋体" w:eastAsia="宋体" w:cs="宋体"/>
          <w:color w:val="000000"/>
          <w:lang w:val="en-US" w:eastAsia="zh-CN"/>
        </w:rPr>
        <w:t>1.6所用试剂的定标液全部免费提供。</w:t>
      </w:r>
    </w:p>
    <w:p>
      <w:pPr>
        <w:spacing w:line="360" w:lineRule="auto"/>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1.7如有专用试剂请说明，试剂必须为江苏阳光采购平台入围产品，试剂的价格不高于江苏省阳光采购平台同品牌试剂价格。</w:t>
      </w:r>
    </w:p>
    <w:p>
      <w:pPr>
        <w:spacing w:line="360" w:lineRule="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1.8开通仪器LIS端口，新仪器接入医院LIS系统，费用全部由中标公司承担。</w:t>
      </w:r>
    </w:p>
    <w:p>
      <w:pPr>
        <w:spacing w:line="360" w:lineRule="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1.9仪器具有双工识别性能，仪器是今年最新产版本的，2020年6月以后生产的全套全新设备。</w:t>
      </w:r>
    </w:p>
    <w:p>
      <w:pPr>
        <w:pStyle w:val="2"/>
        <w:rPr>
          <w:rFonts w:hint="default"/>
          <w:lang w:val="en-US" w:eastAsia="zh-CN"/>
        </w:rPr>
      </w:pPr>
    </w:p>
    <w:p>
      <w:pPr>
        <w:pStyle w:val="2"/>
      </w:pPr>
    </w:p>
    <w:p>
      <w:pPr>
        <w:spacing w:line="360" w:lineRule="auto"/>
        <w:rPr>
          <w:color w:val="000000"/>
        </w:rPr>
      </w:pPr>
      <w:r>
        <w:rPr>
          <w:rFonts w:hAnsi="宋体"/>
          <w:b/>
          <w:bCs/>
          <w:color w:val="000000"/>
        </w:rPr>
        <w:t>2</w:t>
      </w:r>
      <w:r>
        <w:rPr>
          <w:rFonts w:hint="eastAsia" w:hAnsi="宋体" w:cs="宋体"/>
          <w:b/>
          <w:bCs/>
          <w:color w:val="000000"/>
        </w:rPr>
        <w:t>、验收、交付使用的要求：</w:t>
      </w:r>
    </w:p>
    <w:p>
      <w:pPr>
        <w:spacing w:line="360" w:lineRule="auto"/>
      </w:pPr>
      <w:r>
        <w:rPr>
          <w:color w:val="000000"/>
        </w:rPr>
        <w:t>2.1</w:t>
      </w:r>
      <w:r>
        <w:rPr>
          <w:rFonts w:hint="eastAsia" w:hAnsi="宋体" w:cs="宋体"/>
          <w:color w:val="000000"/>
        </w:rPr>
        <w:t>、在整体项目部署工作完成后，</w:t>
      </w:r>
      <w:r>
        <w:rPr>
          <w:rFonts w:hint="eastAsia" w:cs="宋体"/>
        </w:rPr>
        <w:t>成交供应商应及时告知采购人，采购人于项目运行两周后组织正式验收</w:t>
      </w:r>
      <w:r>
        <w:rPr>
          <w:rFonts w:hint="eastAsia" w:hAnsi="宋体" w:cs="宋体"/>
        </w:rPr>
        <w:t>。验收须严格按照有关规范要求标准执行。</w:t>
      </w:r>
    </w:p>
    <w:p>
      <w:pPr>
        <w:spacing w:line="360" w:lineRule="auto"/>
        <w:rPr>
          <w:color w:val="000000" w:themeColor="text1"/>
        </w:rPr>
      </w:pPr>
      <w:r>
        <w:rPr>
          <w:color w:val="000000"/>
        </w:rPr>
        <w:t>2.2</w:t>
      </w:r>
      <w:r>
        <w:rPr>
          <w:rFonts w:hint="eastAsia" w:hAnsi="宋体" w:cs="宋体"/>
          <w:color w:val="000000"/>
        </w:rPr>
        <w:t>、交付使用要同时向采购人提供详细的技术文件、安装记录等，同时提供</w:t>
      </w:r>
      <w:r>
        <w:rPr>
          <w:rFonts w:hint="eastAsia" w:hAnsi="宋体" w:cs="宋体"/>
          <w:color w:val="000000" w:themeColor="text1"/>
        </w:rPr>
        <w:t>两份产品使用说明书。</w:t>
      </w:r>
    </w:p>
    <w:p>
      <w:pPr>
        <w:spacing w:line="360" w:lineRule="auto"/>
        <w:rPr>
          <w:color w:val="000000"/>
        </w:rPr>
      </w:pPr>
      <w:r>
        <w:rPr>
          <w:color w:val="000000"/>
        </w:rPr>
        <w:t>2.3</w:t>
      </w:r>
      <w:r>
        <w:rPr>
          <w:rFonts w:hint="eastAsia" w:hAnsi="宋体" w:cs="宋体"/>
          <w:color w:val="000000"/>
        </w:rPr>
        <w:t>、成交供应商应对采购人的有关使用人员进行操作的培训及常规故障排除的实际指导。指导的语言为汉语。</w:t>
      </w:r>
    </w:p>
    <w:p>
      <w:pPr>
        <w:spacing w:line="360" w:lineRule="auto"/>
        <w:rPr>
          <w:color w:val="000000"/>
        </w:rPr>
      </w:pPr>
      <w:r>
        <w:rPr>
          <w:rFonts w:hAnsi="宋体"/>
          <w:b/>
          <w:bCs/>
          <w:color w:val="000000"/>
        </w:rPr>
        <w:t>3</w:t>
      </w:r>
      <w:r>
        <w:rPr>
          <w:rFonts w:hint="eastAsia" w:hAnsi="宋体" w:cs="宋体"/>
          <w:b/>
          <w:bCs/>
          <w:color w:val="000000"/>
        </w:rPr>
        <w:t>、维修保修的要求：</w:t>
      </w:r>
    </w:p>
    <w:p>
      <w:pPr>
        <w:spacing w:line="360" w:lineRule="auto"/>
        <w:rPr>
          <w:color w:val="000000"/>
        </w:rPr>
      </w:pPr>
      <w:r>
        <w:rPr>
          <w:color w:val="000000"/>
        </w:rPr>
        <w:t>3.1</w:t>
      </w:r>
      <w:r>
        <w:rPr>
          <w:rFonts w:hint="eastAsia" w:hAnsi="宋体" w:cs="宋体"/>
          <w:color w:val="000000"/>
        </w:rPr>
        <w:t>、为了维修服务工作方便，成交供应商必须设有能在短时间内及时响应报修信息的维修站</w:t>
      </w:r>
      <w:r>
        <w:rPr>
          <w:rFonts w:hint="eastAsia" w:hAnsi="宋体" w:cs="宋体"/>
        </w:rPr>
        <w:t>。</w:t>
      </w:r>
    </w:p>
    <w:p>
      <w:pPr>
        <w:numPr>
          <w:ilvl w:val="0"/>
          <w:numId w:val="0"/>
        </w:numPr>
        <w:jc w:val="left"/>
        <w:rPr>
          <w:color w:val="000000"/>
        </w:rPr>
      </w:pPr>
      <w:r>
        <w:rPr>
          <w:color w:val="000000"/>
        </w:rPr>
        <w:t>3.2</w:t>
      </w:r>
      <w:r>
        <w:rPr>
          <w:rFonts w:hint="eastAsia" w:hAnsi="宋体" w:cs="宋体"/>
          <w:color w:val="000000"/>
        </w:rPr>
        <w:t>、</w:t>
      </w:r>
      <w:r>
        <w:rPr>
          <w:rFonts w:hint="eastAsia" w:ascii="Times New Roman" w:hAnsi="宋体" w:eastAsia="宋体" w:cs="宋体"/>
          <w:color w:val="000000"/>
          <w:lang w:val="en-US" w:eastAsia="zh-CN"/>
        </w:rPr>
        <w:t>免费上门检修保养，免费更换零配件等</w:t>
      </w:r>
      <w:r>
        <w:rPr>
          <w:rFonts w:hint="eastAsia"/>
          <w:sz w:val="28"/>
          <w:szCs w:val="28"/>
          <w:lang w:val="en-US" w:eastAsia="zh-CN"/>
        </w:rPr>
        <w:t>。</w:t>
      </w:r>
      <w:r>
        <w:rPr>
          <w:rFonts w:hint="eastAsia" w:hAnsi="宋体" w:cs="宋体"/>
          <w:color w:val="000000"/>
        </w:rPr>
        <w:t>质保期内一切费用</w:t>
      </w:r>
      <w:r>
        <w:rPr>
          <w:rFonts w:hint="eastAsia" w:hAnsi="宋体" w:cs="宋体"/>
          <w:color w:val="000000"/>
          <w:lang w:eastAsia="zh-CN"/>
        </w:rPr>
        <w:t>，</w:t>
      </w:r>
      <w:r>
        <w:rPr>
          <w:rFonts w:hint="eastAsia" w:hAnsi="宋体" w:cs="宋体"/>
          <w:color w:val="000000"/>
        </w:rPr>
        <w:t>由成交供应商承担。</w:t>
      </w:r>
    </w:p>
    <w:p>
      <w:pPr>
        <w:spacing w:line="360" w:lineRule="auto"/>
        <w:rPr>
          <w:color w:val="000000"/>
        </w:rPr>
      </w:pPr>
      <w:r>
        <w:rPr>
          <w:color w:val="000000"/>
        </w:rPr>
        <w:t>3.3</w:t>
      </w:r>
      <w:r>
        <w:rPr>
          <w:rFonts w:hint="eastAsia" w:cs="宋体"/>
          <w:color w:val="000000"/>
        </w:rPr>
        <w:t>、质保期内，一旦发生问题，成交供应商必须在招标响应文件承诺的时间内到达现场并及时处理。</w:t>
      </w:r>
    </w:p>
    <w:p>
      <w:pPr>
        <w:spacing w:line="360" w:lineRule="auto"/>
        <w:jc w:val="left"/>
        <w:rPr>
          <w:rFonts w:hAnsi="宋体"/>
          <w:color w:val="000000"/>
        </w:rPr>
      </w:pPr>
      <w:r>
        <w:rPr>
          <w:color w:val="000000"/>
        </w:rPr>
        <w:t>3.4</w:t>
      </w:r>
      <w:r>
        <w:rPr>
          <w:rFonts w:hint="eastAsia" w:hAnsi="宋体" w:cs="宋体"/>
          <w:color w:val="000000"/>
        </w:rPr>
        <w:t>、质保期内，如因产品质量、安装问题致使待修时间超过投标时承诺的时间，成交供应商应负责赔偿。</w:t>
      </w:r>
    </w:p>
    <w:p>
      <w:pPr>
        <w:spacing w:line="360" w:lineRule="auto"/>
        <w:jc w:val="left"/>
        <w:rPr>
          <w:rFonts w:hAnsi="宋体"/>
          <w:b/>
          <w:bCs/>
          <w:color w:val="000000"/>
        </w:rPr>
      </w:pPr>
    </w:p>
    <w:p>
      <w:pPr>
        <w:pStyle w:val="2"/>
      </w:pPr>
    </w:p>
    <w:p>
      <w:pPr>
        <w:spacing w:line="360" w:lineRule="auto"/>
        <w:jc w:val="left"/>
        <w:rPr>
          <w:rFonts w:hint="eastAsia" w:hAnsi="宋体" w:cs="宋体"/>
          <w:b/>
          <w:bCs/>
          <w:color w:val="000000"/>
          <w:lang w:eastAsia="zh-CN"/>
        </w:rPr>
      </w:pPr>
      <w:r>
        <w:rPr>
          <w:rFonts w:hint="eastAsia" w:hAnsi="宋体" w:cs="宋体"/>
          <w:b/>
          <w:bCs/>
          <w:color w:val="000000"/>
        </w:rPr>
        <w:t>合同</w:t>
      </w:r>
      <w:r>
        <w:rPr>
          <w:rFonts w:hint="eastAsia" w:hAnsi="宋体" w:cs="宋体"/>
          <w:b/>
          <w:bCs/>
          <w:color w:val="000000"/>
          <w:lang w:eastAsia="zh-CN"/>
        </w:rPr>
        <w:t>模板</w:t>
      </w:r>
    </w:p>
    <w:p>
      <w:pPr>
        <w:pStyle w:val="14"/>
        <w:spacing w:before="0" w:beforeAutospacing="0" w:after="0" w:afterAutospacing="0" w:line="360" w:lineRule="exact"/>
        <w:ind w:right="403"/>
        <w:jc w:val="right"/>
        <w:rPr>
          <w:b/>
          <w:sz w:val="36"/>
        </w:rPr>
      </w:pPr>
      <w:r>
        <w:rPr>
          <w:rStyle w:val="40"/>
          <w:rFonts w:hint="eastAsia"/>
          <w:b/>
          <w:szCs w:val="20"/>
        </w:rPr>
        <w:t>合同编号：</w:t>
      </w:r>
    </w:p>
    <w:p>
      <w:pPr>
        <w:widowControl/>
        <w:spacing w:line="360" w:lineRule="auto"/>
        <w:jc w:val="left"/>
        <w:rPr>
          <w:rFonts w:ascii="宋体" w:cs="宋体"/>
          <w:kern w:val="0"/>
          <w:sz w:val="24"/>
          <w:szCs w:val="20"/>
        </w:rPr>
      </w:pPr>
      <w:r>
        <w:rPr>
          <w:rFonts w:hint="eastAsia" w:ascii="宋体" w:hAnsi="宋体" w:cs="宋体"/>
          <w:b/>
          <w:kern w:val="0"/>
          <w:sz w:val="24"/>
          <w:szCs w:val="20"/>
        </w:rPr>
        <w:t>购货单位</w:t>
      </w:r>
      <w:r>
        <w:rPr>
          <w:rFonts w:hint="eastAsia" w:ascii="宋体" w:hAnsi="宋体" w:cs="宋体"/>
          <w:kern w:val="0"/>
          <w:sz w:val="24"/>
          <w:szCs w:val="20"/>
        </w:rPr>
        <w:t>：</w:t>
      </w:r>
      <w:r>
        <w:rPr>
          <w:rFonts w:hint="eastAsia" w:ascii="宋体" w:hAnsi="宋体" w:cs="宋体"/>
          <w:kern w:val="0"/>
          <w:sz w:val="24"/>
          <w:szCs w:val="20"/>
          <w:u w:val="single"/>
        </w:rPr>
        <w:t>徐州医科大学附属第三医院</w:t>
      </w:r>
      <w:r>
        <w:rPr>
          <w:rFonts w:hint="eastAsia" w:ascii="宋体" w:hAnsi="宋体" w:cs="宋体"/>
          <w:kern w:val="0"/>
          <w:sz w:val="24"/>
          <w:szCs w:val="20"/>
        </w:rPr>
        <w:t>（以下简称甲方）</w:t>
      </w:r>
      <w:r>
        <w:rPr>
          <w:rFonts w:ascii="宋体" w:hAnsi="宋体" w:cs="宋体"/>
          <w:kern w:val="0"/>
          <w:sz w:val="24"/>
          <w:szCs w:val="20"/>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供货单位</w:t>
      </w:r>
      <w:r>
        <w:rPr>
          <w:rFonts w:hint="eastAsia" w:ascii="宋体" w:hAnsi="宋体" w:cs="宋体"/>
          <w:kern w:val="0"/>
          <w:sz w:val="24"/>
          <w:szCs w:val="20"/>
        </w:rPr>
        <w:t>：</w:t>
      </w:r>
      <w:r>
        <w:rPr>
          <w:rFonts w:hint="eastAsia" w:ascii="宋体" w:cs="宋体"/>
          <w:kern w:val="0"/>
          <w:sz w:val="24"/>
          <w:szCs w:val="20"/>
          <w:u w:val="single"/>
        </w:rPr>
        <w:t xml:space="preserve">        </w:t>
      </w:r>
      <w:r>
        <w:rPr>
          <w:rFonts w:hint="eastAsia" w:ascii="宋体" w:hAnsi="宋体" w:cs="宋体"/>
          <w:kern w:val="0"/>
          <w:sz w:val="24"/>
          <w:szCs w:val="20"/>
        </w:rPr>
        <w:t>（以下简称乙方）</w:t>
      </w:r>
      <w:r>
        <w:rPr>
          <w:rFonts w:ascii="宋体" w:hAnsi="宋体" w:cs="宋体"/>
          <w:kern w:val="0"/>
          <w:sz w:val="24"/>
          <w:szCs w:val="20"/>
        </w:rPr>
        <w:t xml:space="preserve"> </w:t>
      </w:r>
    </w:p>
    <w:p>
      <w:pPr>
        <w:widowControl/>
        <w:spacing w:line="360" w:lineRule="auto"/>
        <w:jc w:val="left"/>
        <w:rPr>
          <w:rFonts w:ascii="宋体" w:cs="宋体"/>
          <w:b/>
          <w:kern w:val="0"/>
          <w:sz w:val="24"/>
          <w:szCs w:val="20"/>
        </w:rPr>
      </w:pPr>
      <w:r>
        <w:rPr>
          <w:rFonts w:hint="eastAsia" w:ascii="宋体" w:hAnsi="宋体" w:cs="宋体"/>
          <w:b/>
          <w:kern w:val="0"/>
          <w:sz w:val="24"/>
          <w:szCs w:val="20"/>
        </w:rPr>
        <w:t>合同签署地点：</w:t>
      </w:r>
      <w:r>
        <w:rPr>
          <w:rFonts w:hint="eastAsia" w:ascii="宋体" w:hAnsi="宋体" w:cs="宋体"/>
          <w:kern w:val="0"/>
          <w:sz w:val="24"/>
          <w:szCs w:val="20"/>
        </w:rPr>
        <w:t>江苏省徐州市</w:t>
      </w:r>
    </w:p>
    <w:p>
      <w:pPr>
        <w:widowControl/>
        <w:spacing w:line="360" w:lineRule="exact"/>
        <w:jc w:val="left"/>
        <w:rPr>
          <w:rFonts w:ascii="宋体" w:cs="宋体"/>
          <w:kern w:val="0"/>
          <w:sz w:val="24"/>
          <w:szCs w:val="20"/>
        </w:rPr>
      </w:pPr>
      <w:r>
        <w:rPr>
          <w:rFonts w:hint="eastAsia" w:ascii="宋体" w:hAnsi="宋体" w:cs="宋体"/>
          <w:kern w:val="0"/>
          <w:sz w:val="24"/>
          <w:szCs w:val="20"/>
        </w:rPr>
        <w:t>　　根据《中华人民共和国合同法》以及相关法律法规的规定，经双方协商一致，就甲方采购乙方设备事宜，双方自愿签订如下合同：</w:t>
      </w:r>
      <w:r>
        <w:rPr>
          <w:rFonts w:ascii="宋体" w:hAnsi="宋体" w:cs="宋体"/>
          <w:kern w:val="0"/>
          <w:sz w:val="24"/>
          <w:szCs w:val="20"/>
        </w:rPr>
        <w:t xml:space="preserve"> </w:t>
      </w:r>
    </w:p>
    <w:p>
      <w:pPr>
        <w:widowControl/>
        <w:spacing w:line="360" w:lineRule="exact"/>
        <w:ind w:firstLine="420"/>
        <w:jc w:val="left"/>
        <w:rPr>
          <w:rFonts w:ascii="宋体" w:cs="宋体"/>
          <w:b/>
          <w:kern w:val="0"/>
          <w:sz w:val="24"/>
        </w:rPr>
      </w:pPr>
      <w:r>
        <w:rPr>
          <w:rFonts w:hint="eastAsia" w:ascii="宋体" w:hAnsi="宋体" w:cs="宋体"/>
          <w:b/>
          <w:kern w:val="0"/>
          <w:sz w:val="24"/>
        </w:rPr>
        <w:t>第一条</w:t>
      </w:r>
      <w:r>
        <w:rPr>
          <w:rFonts w:ascii="宋体" w:hAnsi="宋体" w:cs="宋体"/>
          <w:b/>
          <w:kern w:val="0"/>
          <w:sz w:val="24"/>
        </w:rPr>
        <w:t xml:space="preserve"> </w:t>
      </w:r>
      <w:r>
        <w:rPr>
          <w:rFonts w:hint="eastAsia" w:ascii="宋体" w:hAnsi="宋体" w:cs="宋体"/>
          <w:b/>
          <w:kern w:val="0"/>
          <w:sz w:val="24"/>
        </w:rPr>
        <w:t>产品名称、种类、规格、数量及价款</w:t>
      </w:r>
    </w:p>
    <w:tbl>
      <w:tblPr>
        <w:tblStyle w:val="15"/>
        <w:tblW w:w="9167" w:type="dxa"/>
        <w:jc w:val="center"/>
        <w:tblCellSpacing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0" w:type="dxa"/>
          <w:bottom w:w="0" w:type="dxa"/>
          <w:right w:w="0" w:type="dxa"/>
        </w:tblCellMar>
      </w:tblPr>
      <w:tblGrid>
        <w:gridCol w:w="1479"/>
        <w:gridCol w:w="1067"/>
        <w:gridCol w:w="1556"/>
        <w:gridCol w:w="1523"/>
        <w:gridCol w:w="603"/>
        <w:gridCol w:w="1441"/>
        <w:gridCol w:w="1498"/>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cantSplit/>
          <w:trHeight w:val="360"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0"/>
              </w:rPr>
              <w:t>产品</w:t>
            </w:r>
            <w:r>
              <w:rPr>
                <w:rFonts w:hint="eastAsia" w:ascii="宋体" w:hAnsi="宋体" w:cs="宋体"/>
                <w:b/>
                <w:kern w:val="0"/>
                <w:sz w:val="24"/>
                <w:szCs w:val="20"/>
              </w:rPr>
              <w:t>名称</w:t>
            </w: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品牌名称</w:t>
            </w: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规格</w:t>
            </w:r>
            <w:r>
              <w:rPr>
                <w:rFonts w:ascii="宋体" w:hAnsi="宋体" w:cs="宋体"/>
                <w:b/>
                <w:kern w:val="0"/>
                <w:sz w:val="24"/>
                <w:szCs w:val="20"/>
              </w:rPr>
              <w:t>/</w:t>
            </w:r>
            <w:r>
              <w:rPr>
                <w:rFonts w:hint="eastAsia" w:ascii="宋体" w:hAnsi="宋体" w:cs="宋体"/>
                <w:b/>
                <w:kern w:val="0"/>
                <w:sz w:val="24"/>
                <w:szCs w:val="20"/>
              </w:rPr>
              <w:t>型号</w:t>
            </w: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生产厂家名称</w:t>
            </w: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数量</w:t>
            </w: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单价</w:t>
            </w:r>
            <w:r>
              <w:rPr>
                <w:rFonts w:ascii="宋体" w:hAnsi="宋体" w:cs="宋体"/>
                <w:b/>
                <w:kern w:val="0"/>
                <w:sz w:val="24"/>
                <w:szCs w:val="20"/>
              </w:rPr>
              <w:t>(</w:t>
            </w:r>
            <w:r>
              <w:rPr>
                <w:rFonts w:hint="eastAsia" w:ascii="宋体" w:cs="宋体"/>
                <w:kern w:val="0"/>
                <w:sz w:val="24"/>
                <w:szCs w:val="21"/>
              </w:rPr>
              <w:t>¥</w:t>
            </w:r>
            <w:r>
              <w:rPr>
                <w:rFonts w:hint="eastAsia" w:ascii="宋体" w:hAnsi="宋体" w:cs="宋体"/>
                <w:b/>
                <w:kern w:val="0"/>
                <w:sz w:val="24"/>
                <w:szCs w:val="20"/>
              </w:rPr>
              <w:t>元</w:t>
            </w:r>
            <w:r>
              <w:rPr>
                <w:rFonts w:ascii="宋体" w:hAnsi="宋体" w:cs="宋体"/>
                <w:b/>
                <w:kern w:val="0"/>
                <w:sz w:val="24"/>
                <w:szCs w:val="20"/>
              </w:rPr>
              <w:t>)</w:t>
            </w: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小计</w:t>
            </w:r>
            <w:r>
              <w:rPr>
                <w:rFonts w:ascii="宋体" w:hAnsi="宋体" w:cs="宋体"/>
                <w:b/>
                <w:kern w:val="0"/>
                <w:sz w:val="24"/>
                <w:szCs w:val="20"/>
              </w:rPr>
              <w:t>(</w:t>
            </w:r>
            <w:r>
              <w:rPr>
                <w:rFonts w:hint="eastAsia" w:ascii="宋体" w:cs="宋体"/>
                <w:kern w:val="0"/>
                <w:sz w:val="24"/>
                <w:szCs w:val="21"/>
              </w:rPr>
              <w:t>¥</w:t>
            </w:r>
            <w:r>
              <w:rPr>
                <w:rFonts w:hint="eastAsia" w:ascii="宋体" w:hAnsi="宋体" w:cs="宋体"/>
                <w:b/>
                <w:kern w:val="0"/>
                <w:sz w:val="24"/>
                <w:szCs w:val="20"/>
              </w:rPr>
              <w:t>元</w:t>
            </w:r>
            <w:r>
              <w:rPr>
                <w:rFonts w:ascii="宋体" w:hAnsi="宋体" w:cs="宋体"/>
                <w:b/>
                <w:kern w:val="0"/>
                <w:sz w:val="24"/>
                <w:szCs w:val="20"/>
              </w:rPr>
              <w:t>)</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4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bl>
    <w:p>
      <w:pPr>
        <w:widowControl/>
        <w:spacing w:line="360" w:lineRule="exact"/>
        <w:ind w:firstLine="420"/>
        <w:jc w:val="left"/>
        <w:rPr>
          <w:rFonts w:ascii="宋体" w:cs="宋体"/>
          <w:kern w:val="0"/>
          <w:sz w:val="24"/>
        </w:rPr>
      </w:pPr>
    </w:p>
    <w:p>
      <w:pPr>
        <w:widowControl/>
        <w:spacing w:line="360" w:lineRule="exact"/>
        <w:ind w:firstLine="420"/>
        <w:jc w:val="left"/>
        <w:rPr>
          <w:rFonts w:ascii="宋体" w:cs="宋体"/>
          <w:kern w:val="0"/>
          <w:sz w:val="24"/>
        </w:rPr>
      </w:pPr>
      <w:r>
        <w:rPr>
          <w:rFonts w:hint="eastAsia" w:ascii="宋体" w:hAnsi="宋体" w:cs="宋体"/>
          <w:kern w:val="0"/>
          <w:sz w:val="24"/>
        </w:rPr>
        <w:t>产品详细配置清单等见附件，附件与</w:t>
      </w:r>
      <w:r>
        <w:rPr>
          <w:rFonts w:hint="eastAsia" w:ascii="宋体" w:hAnsi="宋体" w:cs="宋体"/>
          <w:kern w:val="0"/>
          <w:sz w:val="24"/>
          <w:szCs w:val="20"/>
        </w:rPr>
        <w:t>本合同有同等法律效力</w:t>
      </w:r>
      <w:r>
        <w:rPr>
          <w:rFonts w:hint="eastAsia" w:ascii="宋体" w:hAnsi="宋体" w:cs="宋体"/>
          <w:kern w:val="0"/>
          <w:sz w:val="24"/>
        </w:rPr>
        <w:t>。</w:t>
      </w:r>
    </w:p>
    <w:p>
      <w:pPr>
        <w:widowControl/>
        <w:spacing w:line="360" w:lineRule="exact"/>
        <w:ind w:firstLine="465"/>
        <w:jc w:val="left"/>
        <w:rPr>
          <w:rFonts w:hint="eastAsia" w:ascii="宋体" w:hAnsi="宋体" w:cs="宋体"/>
          <w:b/>
          <w:kern w:val="0"/>
          <w:sz w:val="24"/>
          <w:szCs w:val="20"/>
        </w:rPr>
      </w:pPr>
      <w:r>
        <w:rPr>
          <w:rFonts w:hint="eastAsia" w:ascii="宋体" w:hAnsi="宋体" w:cs="宋体"/>
          <w:b/>
          <w:kern w:val="0"/>
          <w:sz w:val="24"/>
          <w:szCs w:val="20"/>
        </w:rPr>
        <w:t>第二条</w:t>
      </w:r>
      <w:r>
        <w:rPr>
          <w:rFonts w:ascii="宋体" w:hAnsi="宋体" w:cs="宋体"/>
          <w:b/>
          <w:kern w:val="0"/>
          <w:sz w:val="24"/>
          <w:szCs w:val="20"/>
        </w:rPr>
        <w:t xml:space="preserve"> </w:t>
      </w:r>
      <w:r>
        <w:rPr>
          <w:rFonts w:hint="eastAsia" w:ascii="宋体" w:hAnsi="宋体" w:cs="宋体"/>
          <w:b/>
          <w:kern w:val="0"/>
          <w:sz w:val="24"/>
          <w:szCs w:val="20"/>
        </w:rPr>
        <w:t>交货方式与交货地点</w:t>
      </w:r>
      <w:r>
        <w:rPr>
          <w:rFonts w:ascii="宋体" w:hAnsi="宋体" w:cs="宋体"/>
          <w:b/>
          <w:kern w:val="0"/>
          <w:sz w:val="24"/>
          <w:szCs w:val="20"/>
        </w:rPr>
        <w:t xml:space="preserve"> </w:t>
      </w:r>
    </w:p>
    <w:p>
      <w:pPr>
        <w:widowControl/>
        <w:spacing w:line="360" w:lineRule="exact"/>
        <w:ind w:firstLine="465"/>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、交货时间：</w:t>
      </w:r>
      <w:r>
        <w:rPr>
          <w:rFonts w:hint="eastAsia" w:ascii="宋体" w:hAnsi="宋体" w:cs="宋体"/>
          <w:bCs/>
          <w:kern w:val="0"/>
          <w:sz w:val="24"/>
          <w:szCs w:val="20"/>
        </w:rPr>
        <w:t>乙方向甲方交付产品于   年  月   日前</w:t>
      </w:r>
      <w:r>
        <w:rPr>
          <w:rFonts w:hint="eastAsia" w:ascii="宋体" w:hAnsi="宋体" w:cs="宋体"/>
          <w:kern w:val="0"/>
          <w:sz w:val="24"/>
          <w:szCs w:val="20"/>
        </w:rPr>
        <w:t>。</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、乙方负责将产品运至甲方指定地点，并承担运输、装卸、安装、税费等一切相关费用。</w:t>
      </w:r>
    </w:p>
    <w:p>
      <w:pPr>
        <w:widowControl/>
        <w:spacing w:line="360" w:lineRule="exact"/>
        <w:ind w:left="480"/>
        <w:jc w:val="left"/>
        <w:rPr>
          <w:rFonts w:ascii="宋体" w:cs="宋体"/>
          <w:b/>
          <w:kern w:val="0"/>
          <w:sz w:val="24"/>
        </w:rPr>
      </w:pPr>
      <w:r>
        <w:rPr>
          <w:rFonts w:hint="eastAsia" w:ascii="宋体" w:hAnsi="宋体" w:cs="宋体"/>
          <w:b/>
          <w:kern w:val="0"/>
          <w:sz w:val="24"/>
          <w:szCs w:val="20"/>
        </w:rPr>
        <w:t>第三条</w:t>
      </w:r>
      <w:r>
        <w:rPr>
          <w:rFonts w:ascii="宋体" w:hAnsi="宋体" w:cs="宋体"/>
          <w:b/>
          <w:kern w:val="0"/>
          <w:sz w:val="24"/>
          <w:szCs w:val="20"/>
        </w:rPr>
        <w:t xml:space="preserve"> </w:t>
      </w:r>
      <w:r>
        <w:rPr>
          <w:rFonts w:hint="eastAsia" w:ascii="宋体" w:hAnsi="宋体" w:cs="宋体"/>
          <w:b/>
          <w:kern w:val="0"/>
          <w:sz w:val="24"/>
        </w:rPr>
        <w:t>安装、调试与验收</w:t>
      </w:r>
    </w:p>
    <w:p>
      <w:pPr>
        <w:widowControl/>
        <w:spacing w:line="360" w:lineRule="exact"/>
        <w:ind w:firstLine="482"/>
        <w:jc w:val="left"/>
        <w:rPr>
          <w:rFonts w:ascii="宋体" w:cs="宋体"/>
          <w:bCs/>
          <w:kern w:val="0"/>
          <w:sz w:val="24"/>
          <w:szCs w:val="20"/>
        </w:rPr>
      </w:pPr>
      <w:r>
        <w:rPr>
          <w:rFonts w:hint="eastAsia" w:ascii="宋体" w:hAnsi="宋体" w:cs="宋体"/>
          <w:kern w:val="0"/>
          <w:sz w:val="24"/>
          <w:szCs w:val="20"/>
        </w:rPr>
        <w:t>需要安装的产品，由乙方负责安装和调试工作。产品正常运行后由乙方会同甲方相关部门按规定的标准共同组织验收。不需安装的产品由甲方组织验收。如果发现数量不足或有质量、技术等问题，乙方应在七日内，按照甲方的要求，采取补足、更换或退货等处理措施，并承担由此发生的一切损失和费用</w:t>
      </w:r>
      <w:r>
        <w:rPr>
          <w:rFonts w:hint="eastAsia" w:ascii="宋体" w:hAnsi="宋体" w:cs="宋体"/>
          <w:bCs/>
          <w:kern w:val="0"/>
          <w:sz w:val="24"/>
          <w:szCs w:val="20"/>
        </w:rPr>
        <w:t>。</w:t>
      </w:r>
    </w:p>
    <w:p>
      <w:pPr>
        <w:widowControl/>
        <w:spacing w:line="360" w:lineRule="exact"/>
        <w:ind w:firstLine="482"/>
        <w:jc w:val="left"/>
        <w:rPr>
          <w:rFonts w:ascii="宋体" w:cs="宋体"/>
          <w:b/>
          <w:kern w:val="0"/>
          <w:sz w:val="24"/>
          <w:szCs w:val="20"/>
        </w:rPr>
      </w:pPr>
      <w:r>
        <w:rPr>
          <w:rFonts w:hint="eastAsia" w:ascii="宋体" w:hAnsi="宋体" w:cs="宋体"/>
          <w:b/>
          <w:kern w:val="0"/>
          <w:sz w:val="24"/>
          <w:szCs w:val="20"/>
        </w:rPr>
        <w:t>第四条</w:t>
      </w:r>
      <w:r>
        <w:rPr>
          <w:rFonts w:ascii="宋体" w:hAnsi="宋体" w:cs="宋体"/>
          <w:b/>
          <w:kern w:val="0"/>
          <w:sz w:val="24"/>
          <w:szCs w:val="20"/>
        </w:rPr>
        <w:t xml:space="preserve"> </w:t>
      </w:r>
      <w:r>
        <w:rPr>
          <w:rFonts w:hint="eastAsia" w:ascii="宋体" w:hAnsi="宋体" w:cs="宋体"/>
          <w:b/>
          <w:kern w:val="0"/>
          <w:sz w:val="24"/>
          <w:szCs w:val="20"/>
        </w:rPr>
        <w:t>付款方式</w:t>
      </w:r>
    </w:p>
    <w:p>
      <w:pPr>
        <w:widowControl/>
        <w:spacing w:line="360" w:lineRule="exact"/>
        <w:ind w:firstLine="482"/>
        <w:jc w:val="left"/>
        <w:rPr>
          <w:rFonts w:ascii="宋体" w:cs="宋体"/>
          <w:kern w:val="0"/>
          <w:sz w:val="24"/>
          <w:szCs w:val="20"/>
        </w:rPr>
      </w:pPr>
      <w:r>
        <w:rPr>
          <w:rFonts w:hint="eastAsia" w:ascii="宋体" w:hAnsi="宋体" w:cs="宋体"/>
          <w:kern w:val="0"/>
          <w:sz w:val="24"/>
          <w:szCs w:val="20"/>
        </w:rPr>
        <w:t>产品安装调试验收合格后2个月内，甲方支付总价款的100％。</w:t>
      </w:r>
    </w:p>
    <w:p>
      <w:pPr>
        <w:widowControl/>
        <w:spacing w:line="360" w:lineRule="exact"/>
        <w:ind w:left="420"/>
        <w:jc w:val="left"/>
        <w:rPr>
          <w:rFonts w:ascii="宋体" w:cs="宋体"/>
          <w:b/>
          <w:kern w:val="0"/>
          <w:sz w:val="24"/>
          <w:szCs w:val="20"/>
        </w:rPr>
      </w:pPr>
      <w:r>
        <w:rPr>
          <w:rFonts w:hint="eastAsia" w:ascii="宋体" w:hAnsi="宋体" w:cs="宋体"/>
          <w:b/>
          <w:kern w:val="0"/>
          <w:sz w:val="24"/>
          <w:szCs w:val="20"/>
        </w:rPr>
        <w:t>第五条</w:t>
      </w:r>
      <w:r>
        <w:rPr>
          <w:rFonts w:ascii="宋体" w:hAnsi="宋体" w:cs="宋体"/>
          <w:b/>
          <w:kern w:val="0"/>
          <w:sz w:val="24"/>
          <w:szCs w:val="20"/>
        </w:rPr>
        <w:t xml:space="preserve"> </w:t>
      </w:r>
      <w:r>
        <w:rPr>
          <w:rFonts w:hint="eastAsia" w:ascii="宋体" w:hAnsi="宋体" w:cs="宋体"/>
          <w:b/>
          <w:kern w:val="0"/>
          <w:sz w:val="24"/>
          <w:szCs w:val="20"/>
        </w:rPr>
        <w:t>质量保证、保修期及服务承诺</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乙方保证向甲方提供的产品满足中国国家标准和相关行业标准。</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产品的保修期（以验收合格日算起）年，保修期内免费维修。保修期满后，只收取维修配件的成本费，并保证对本设备终身负责维修。保修期内确保开机率≥</w:t>
      </w:r>
      <w:r>
        <w:rPr>
          <w:rFonts w:ascii="宋体" w:hAnsi="宋体" w:cs="宋体"/>
          <w:kern w:val="0"/>
          <w:sz w:val="24"/>
          <w:szCs w:val="20"/>
        </w:rPr>
        <w:t>95%</w:t>
      </w:r>
      <w:r>
        <w:rPr>
          <w:rFonts w:hint="eastAsia" w:ascii="宋体" w:hAnsi="宋体" w:cs="宋体"/>
          <w:kern w:val="0"/>
          <w:sz w:val="24"/>
          <w:szCs w:val="20"/>
        </w:rPr>
        <w:t>，如停机率＞</w:t>
      </w:r>
      <w:r>
        <w:rPr>
          <w:rFonts w:ascii="宋体" w:hAnsi="宋体" w:cs="宋体"/>
          <w:kern w:val="0"/>
          <w:sz w:val="24"/>
          <w:szCs w:val="20"/>
        </w:rPr>
        <w:t>5%</w:t>
      </w:r>
      <w:r>
        <w:rPr>
          <w:rFonts w:hint="eastAsia" w:ascii="宋体" w:hAnsi="宋体" w:cs="宋体"/>
          <w:kern w:val="0"/>
          <w:sz w:val="24"/>
          <w:szCs w:val="20"/>
        </w:rPr>
        <w:t>（一制冷季节按</w:t>
      </w:r>
      <w:r>
        <w:rPr>
          <w:rFonts w:ascii="宋体" w:hAnsi="宋体" w:cs="宋体"/>
          <w:kern w:val="0"/>
          <w:sz w:val="24"/>
          <w:szCs w:val="20"/>
        </w:rPr>
        <w:t>183</w:t>
      </w:r>
      <w:r>
        <w:rPr>
          <w:rFonts w:hint="eastAsia" w:ascii="宋体" w:hAnsi="宋体" w:cs="宋体"/>
          <w:kern w:val="0"/>
          <w:sz w:val="24"/>
          <w:szCs w:val="20"/>
        </w:rPr>
        <w:t>天计算，每制冷季节</w:t>
      </w:r>
      <w:r>
        <w:rPr>
          <w:rFonts w:ascii="宋体" w:hAnsi="宋体" w:cs="宋体"/>
          <w:kern w:val="0"/>
          <w:sz w:val="24"/>
          <w:szCs w:val="20"/>
        </w:rPr>
        <w:t>9</w:t>
      </w:r>
      <w:r>
        <w:rPr>
          <w:rFonts w:hint="eastAsia" w:ascii="宋体" w:hAnsi="宋体" w:cs="宋体"/>
          <w:kern w:val="0"/>
          <w:sz w:val="24"/>
          <w:szCs w:val="20"/>
        </w:rPr>
        <w:t>天），每超过一天，保修期相应延长两周。</w:t>
      </w:r>
    </w:p>
    <w:p>
      <w:pPr>
        <w:widowControl/>
        <w:spacing w:line="360" w:lineRule="exact"/>
        <w:ind w:firstLine="480"/>
        <w:jc w:val="left"/>
        <w:rPr>
          <w:rFonts w:ascii="宋体" w:cs="宋体"/>
          <w:kern w:val="0"/>
          <w:sz w:val="24"/>
          <w:szCs w:val="20"/>
        </w:rPr>
      </w:pPr>
      <w:r>
        <w:rPr>
          <w:rFonts w:ascii="宋体" w:hAnsi="宋体" w:cs="宋体"/>
          <w:kern w:val="0"/>
          <w:sz w:val="24"/>
          <w:szCs w:val="20"/>
        </w:rPr>
        <w:t>3.</w:t>
      </w:r>
      <w:r>
        <w:rPr>
          <w:rFonts w:hint="eastAsia" w:ascii="宋体" w:hAnsi="宋体" w:cs="宋体"/>
          <w:kern w:val="0"/>
          <w:sz w:val="24"/>
          <w:szCs w:val="20"/>
        </w:rPr>
        <w:t>服务响应时间：   小时。</w:t>
      </w:r>
    </w:p>
    <w:p>
      <w:pPr>
        <w:widowControl/>
        <w:spacing w:line="360" w:lineRule="exact"/>
        <w:ind w:firstLine="480"/>
        <w:jc w:val="left"/>
        <w:rPr>
          <w:rFonts w:ascii="宋体" w:cs="宋体"/>
          <w:kern w:val="0"/>
          <w:sz w:val="24"/>
          <w:szCs w:val="20"/>
        </w:rPr>
      </w:pPr>
      <w:r>
        <w:rPr>
          <w:rFonts w:ascii="宋体" w:hAnsi="宋体" w:cs="宋体"/>
          <w:kern w:val="0"/>
          <w:sz w:val="24"/>
          <w:szCs w:val="20"/>
        </w:rPr>
        <w:t>4.</w:t>
      </w:r>
      <w:r>
        <w:rPr>
          <w:rFonts w:hint="eastAsia" w:ascii="宋体" w:hAnsi="宋体" w:cs="宋体"/>
          <w:kern w:val="0"/>
          <w:sz w:val="24"/>
          <w:szCs w:val="20"/>
        </w:rPr>
        <w:t>其他承诺：</w:t>
      </w:r>
      <w:r>
        <w:rPr>
          <w:rFonts w:ascii="宋体" w:hAnsi="宋体" w:cs="宋体"/>
          <w:kern w:val="0"/>
          <w:sz w:val="24"/>
        </w:rPr>
        <w:t xml:space="preserve"> </w:t>
      </w:r>
      <w:r>
        <w:rPr>
          <w:rFonts w:hint="eastAsia" w:ascii="宋体" w:hAnsi="宋体" w:cs="宋体"/>
          <w:kern w:val="0"/>
          <w:sz w:val="24"/>
        </w:rPr>
        <w:t>。</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第六条</w:t>
      </w:r>
      <w:r>
        <w:rPr>
          <w:rFonts w:ascii="宋体" w:hAnsi="宋体" w:cs="宋体"/>
          <w:b/>
          <w:kern w:val="0"/>
          <w:sz w:val="24"/>
          <w:szCs w:val="20"/>
        </w:rPr>
        <w:t xml:space="preserve"> </w:t>
      </w:r>
      <w:r>
        <w:rPr>
          <w:rFonts w:hint="eastAsia" w:ascii="宋体" w:hAnsi="宋体" w:cs="宋体"/>
          <w:b/>
          <w:kern w:val="0"/>
          <w:sz w:val="24"/>
          <w:szCs w:val="20"/>
        </w:rPr>
        <w:t>违约责任</w:t>
      </w:r>
      <w:r>
        <w:rPr>
          <w:rFonts w:ascii="宋体" w:hAnsi="宋体" w:cs="宋体"/>
          <w:b/>
          <w:kern w:val="0"/>
          <w:sz w:val="24"/>
          <w:szCs w:val="20"/>
        </w:rPr>
        <w:t xml:space="preserve"> </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．非乙方供货质量问题，甲方中途不得退货，否则甲方应按合同总额的</w:t>
      </w:r>
      <w:r>
        <w:rPr>
          <w:rFonts w:hint="eastAsia" w:ascii="宋体" w:hAnsi="宋体" w:cs="宋体"/>
          <w:kern w:val="0"/>
          <w:sz w:val="24"/>
          <w:szCs w:val="20"/>
          <w:u w:val="single"/>
        </w:rPr>
        <w:t>百分之一</w:t>
      </w:r>
      <w:r>
        <w:rPr>
          <w:rFonts w:hint="eastAsia" w:ascii="宋体" w:hAnsi="宋体" w:cs="宋体"/>
          <w:kern w:val="0"/>
          <w:sz w:val="24"/>
          <w:szCs w:val="20"/>
        </w:rPr>
        <w:t>向乙方支付违约金。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乙方不能及时提供本合同规定的产品以及应履行的义务，甲方在发出违约通知后</w:t>
      </w:r>
      <w:r>
        <w:rPr>
          <w:rFonts w:ascii="宋体" w:hAnsi="宋体" w:cs="宋体"/>
          <w:kern w:val="0"/>
          <w:sz w:val="24"/>
          <w:szCs w:val="20"/>
        </w:rPr>
        <w:t>3</w:t>
      </w:r>
      <w:r>
        <w:rPr>
          <w:rFonts w:hint="eastAsia" w:ascii="宋体" w:hAnsi="宋体" w:cs="宋体"/>
          <w:kern w:val="0"/>
          <w:sz w:val="24"/>
          <w:szCs w:val="20"/>
        </w:rPr>
        <w:t>日乙方不能纠正时，甲方可以终止全部或部分合同。同时，乙方应返还甲方所支付款项，并按合同总金额的</w:t>
      </w:r>
      <w:r>
        <w:rPr>
          <w:rFonts w:hint="eastAsia" w:ascii="宋体" w:hAnsi="宋体" w:cs="宋体"/>
          <w:kern w:val="0"/>
          <w:sz w:val="24"/>
          <w:szCs w:val="20"/>
          <w:u w:val="single"/>
        </w:rPr>
        <w:t>百分之十</w:t>
      </w:r>
      <w:r>
        <w:rPr>
          <w:rFonts w:hint="eastAsia" w:ascii="宋体" w:hAnsi="宋体" w:cs="宋体"/>
          <w:kern w:val="0"/>
          <w:sz w:val="24"/>
          <w:szCs w:val="20"/>
        </w:rPr>
        <w:t>向甲方支付违约金，并赔偿因此造成的损失。</w:t>
      </w:r>
    </w:p>
    <w:p>
      <w:pPr>
        <w:widowControl/>
        <w:spacing w:line="360" w:lineRule="exact"/>
        <w:ind w:firstLine="480"/>
        <w:jc w:val="left"/>
        <w:rPr>
          <w:rFonts w:ascii="宋体" w:cs="宋体"/>
          <w:kern w:val="0"/>
          <w:sz w:val="24"/>
          <w:szCs w:val="20"/>
        </w:rPr>
      </w:pPr>
      <w:r>
        <w:rPr>
          <w:rFonts w:ascii="宋体" w:hAnsi="宋体" w:cs="宋体"/>
          <w:kern w:val="0"/>
          <w:sz w:val="24"/>
          <w:szCs w:val="20"/>
        </w:rPr>
        <w:t>3.</w:t>
      </w:r>
      <w:r>
        <w:rPr>
          <w:rFonts w:hint="eastAsia" w:ascii="宋体" w:hAnsi="宋体" w:cs="宋体"/>
          <w:kern w:val="0"/>
          <w:sz w:val="24"/>
          <w:szCs w:val="20"/>
        </w:rPr>
        <w:t>乙方所供产品如验收不合格，或者品种、型号、规格、花色质量不符合合同规定的，甲方有权拒绝付款。根据甲方的要求，乙方必须无条件换货或退货，由此引起的一切费用损失由乙方承担。</w:t>
      </w:r>
    </w:p>
    <w:p>
      <w:pPr>
        <w:widowControl/>
        <w:spacing w:line="360" w:lineRule="exact"/>
        <w:ind w:firstLine="480"/>
        <w:jc w:val="left"/>
        <w:rPr>
          <w:rFonts w:ascii="宋体" w:cs="宋体"/>
          <w:kern w:val="0"/>
          <w:sz w:val="24"/>
          <w:szCs w:val="20"/>
        </w:rPr>
      </w:pPr>
      <w:r>
        <w:rPr>
          <w:rFonts w:ascii="宋体" w:hAnsi="宋体" w:cs="宋体"/>
          <w:kern w:val="0"/>
          <w:sz w:val="24"/>
          <w:szCs w:val="20"/>
        </w:rPr>
        <w:t>4.</w:t>
      </w:r>
      <w:r>
        <w:rPr>
          <w:rFonts w:hint="eastAsia" w:ascii="宋体" w:hAnsi="宋体" w:cs="宋体"/>
          <w:kern w:val="0"/>
          <w:sz w:val="24"/>
          <w:szCs w:val="20"/>
        </w:rPr>
        <w:t>乙方逾期供货，每逾期一日，按合同总金额的千分之一向甲方支付违约金。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5.</w:t>
      </w:r>
      <w:r>
        <w:rPr>
          <w:rFonts w:hint="eastAsia" w:ascii="宋体" w:hAnsi="宋体" w:cs="宋体"/>
          <w:kern w:val="0"/>
          <w:sz w:val="24"/>
          <w:szCs w:val="20"/>
        </w:rPr>
        <w:t>乙方违反质量条款交付产品，乙方应在甲方书面通知七日内提供符合约定质量标准的产品，每逾期一日承担合同金额百分之一的违约金。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6.</w:t>
      </w:r>
      <w:r>
        <w:rPr>
          <w:rFonts w:hint="eastAsia" w:ascii="宋体" w:hAnsi="宋体" w:cs="宋体"/>
          <w:kern w:val="0"/>
          <w:sz w:val="24"/>
          <w:szCs w:val="20"/>
        </w:rPr>
        <w:t>乙方在施工期间应严格遵守</w:t>
      </w:r>
      <w:r>
        <w:rPr>
          <w:rFonts w:ascii="宋体" w:hAnsi="宋体" w:cs="宋体"/>
          <w:kern w:val="0"/>
          <w:sz w:val="24"/>
          <w:szCs w:val="20"/>
        </w:rPr>
        <w:t xml:space="preserve"> </w:t>
      </w:r>
      <w:r>
        <w:rPr>
          <w:rFonts w:hint="eastAsia" w:ascii="宋体" w:hAnsi="宋体" w:cs="宋体"/>
          <w:kern w:val="0"/>
          <w:sz w:val="24"/>
          <w:szCs w:val="20"/>
        </w:rPr>
        <w:t>《建筑安装工人安全操作规程》、《中华人民共和国消防条例》和其他相关的法规、规范。</w:t>
      </w:r>
    </w:p>
    <w:p>
      <w:pPr>
        <w:widowControl/>
        <w:spacing w:line="360" w:lineRule="exact"/>
        <w:ind w:firstLine="480"/>
        <w:jc w:val="left"/>
        <w:rPr>
          <w:rFonts w:ascii="宋体" w:cs="宋体"/>
          <w:kern w:val="0"/>
          <w:sz w:val="24"/>
          <w:szCs w:val="20"/>
        </w:rPr>
      </w:pPr>
      <w:r>
        <w:rPr>
          <w:rFonts w:ascii="宋体" w:hAnsi="宋体" w:cs="宋体"/>
          <w:kern w:val="0"/>
          <w:sz w:val="24"/>
          <w:szCs w:val="20"/>
        </w:rPr>
        <w:t xml:space="preserve"> 7.</w:t>
      </w:r>
      <w:r>
        <w:rPr>
          <w:rFonts w:hint="eastAsia" w:ascii="宋体" w:hAnsi="宋体" w:cs="宋体"/>
          <w:kern w:val="0"/>
          <w:sz w:val="24"/>
          <w:szCs w:val="20"/>
        </w:rPr>
        <w:t>乙方在施工生产过程中违反有关安全操作规程、消防条例和防火规范，导致发生安全或火灾事故，乙方应承担由此产生的一切经济损失；在施工生产过程中，如发生人员伤亡事故，所产生的一切损失，由乙方自行承担。</w:t>
      </w:r>
    </w:p>
    <w:p>
      <w:pPr>
        <w:widowControl/>
        <w:spacing w:line="360" w:lineRule="exact"/>
        <w:ind w:firstLine="480"/>
        <w:jc w:val="left"/>
        <w:rPr>
          <w:rFonts w:ascii="宋体" w:cs="宋体"/>
          <w:kern w:val="0"/>
          <w:sz w:val="24"/>
          <w:szCs w:val="20"/>
        </w:rPr>
      </w:pPr>
      <w:r>
        <w:rPr>
          <w:rFonts w:ascii="宋体" w:hAnsi="宋体" w:cs="宋体"/>
          <w:kern w:val="0"/>
          <w:sz w:val="24"/>
          <w:szCs w:val="20"/>
        </w:rPr>
        <w:t>8.</w:t>
      </w:r>
      <w:r>
        <w:rPr>
          <w:rFonts w:hint="eastAsia" w:ascii="宋体" w:hAnsi="宋体" w:cs="宋体"/>
          <w:kern w:val="0"/>
          <w:sz w:val="24"/>
          <w:szCs w:val="20"/>
        </w:rPr>
        <w:t>甲方未按合同规定的时间和要求提供相应的场地技术资料等，交货日期经双方协商可相应顺延。</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第七条</w:t>
      </w:r>
      <w:r>
        <w:rPr>
          <w:rFonts w:ascii="宋体" w:hAnsi="宋体" w:cs="宋体"/>
          <w:b/>
          <w:kern w:val="0"/>
          <w:sz w:val="24"/>
          <w:szCs w:val="20"/>
        </w:rPr>
        <w:t xml:space="preserve"> </w:t>
      </w:r>
      <w:r>
        <w:rPr>
          <w:rFonts w:hint="eastAsia" w:ascii="宋体" w:hAnsi="宋体" w:cs="宋体"/>
          <w:b/>
          <w:kern w:val="0"/>
          <w:sz w:val="24"/>
          <w:szCs w:val="20"/>
        </w:rPr>
        <w:t>不可抗力</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甲、乙任何一方由于不可抗力原因不能履行合同时，应及时向对方通报不能履行或不能完全履行的理由，并在合理期限内提供有关机构出具的证明，以减轻可能给对方造成的损失，并根据情况可部分或全部免予承担违约责任。</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第八条</w:t>
      </w:r>
      <w:r>
        <w:rPr>
          <w:rFonts w:ascii="宋体" w:hAnsi="宋体" w:cs="宋体"/>
          <w:b/>
          <w:kern w:val="0"/>
          <w:sz w:val="24"/>
          <w:szCs w:val="20"/>
        </w:rPr>
        <w:t xml:space="preserve"> </w:t>
      </w:r>
      <w:r>
        <w:rPr>
          <w:rFonts w:hint="eastAsia" w:ascii="宋体" w:hAnsi="宋体" w:cs="宋体"/>
          <w:b/>
          <w:kern w:val="0"/>
          <w:sz w:val="24"/>
          <w:szCs w:val="20"/>
        </w:rPr>
        <w:t>争议解决方法</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甲、乙双方因履行本合同发生争议时，应友好协商；协商不成时，可向合同签署地的仲裁机构申请仲裁，也可以向合同签署地人民法院提出诉讼。</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第九条</w:t>
      </w:r>
      <w:r>
        <w:rPr>
          <w:rFonts w:ascii="宋体" w:hAnsi="宋体" w:cs="宋体"/>
          <w:b/>
          <w:kern w:val="0"/>
          <w:sz w:val="24"/>
          <w:szCs w:val="20"/>
        </w:rPr>
        <w:t xml:space="preserve"> </w:t>
      </w:r>
      <w:r>
        <w:rPr>
          <w:rFonts w:hint="eastAsia" w:ascii="宋体" w:hAnsi="宋体" w:cs="宋体"/>
          <w:b/>
          <w:kern w:val="0"/>
          <w:sz w:val="24"/>
          <w:szCs w:val="20"/>
        </w:rPr>
        <w:t>合同附件</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合同附件是合同不可分割的组成部分，与本合同具有同等法律效力。本合同附件包括：供货范围和价格清单、配置清单、技术标准、设备技术说明、售后服务和技术培训、质保期内设备所有备品备件清单、质保期满后供选购的所有备品备件及消耗品清单等。</w:t>
      </w:r>
    </w:p>
    <w:p>
      <w:pPr>
        <w:widowControl/>
        <w:spacing w:line="360" w:lineRule="exact"/>
        <w:ind w:firstLine="482"/>
        <w:jc w:val="left"/>
        <w:rPr>
          <w:rFonts w:ascii="宋体" w:cs="宋体"/>
          <w:kern w:val="0"/>
          <w:sz w:val="24"/>
          <w:szCs w:val="20"/>
        </w:rPr>
      </w:pPr>
      <w:r>
        <w:rPr>
          <w:rFonts w:hint="eastAsia" w:ascii="宋体" w:hAnsi="宋体" w:cs="宋体"/>
          <w:b/>
          <w:kern w:val="0"/>
          <w:sz w:val="24"/>
          <w:szCs w:val="20"/>
        </w:rPr>
        <w:t>第十条</w:t>
      </w:r>
      <w:r>
        <w:rPr>
          <w:rFonts w:ascii="宋体" w:hAnsi="宋体" w:cs="宋体"/>
          <w:kern w:val="0"/>
          <w:sz w:val="24"/>
          <w:szCs w:val="20"/>
        </w:rPr>
        <w:t xml:space="preserve"> </w:t>
      </w:r>
      <w:r>
        <w:rPr>
          <w:rFonts w:hint="eastAsia" w:ascii="宋体" w:hAnsi="宋体" w:cs="宋体"/>
          <w:kern w:val="0"/>
          <w:sz w:val="24"/>
          <w:szCs w:val="20"/>
        </w:rPr>
        <w:t>甲方招标文件、乙方投标文件及乙方投标最终报价单、承诺等附属内容均为本合同一部分。</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第十一条</w:t>
      </w:r>
      <w:r>
        <w:rPr>
          <w:rFonts w:ascii="宋体" w:hAnsi="宋体" w:cs="宋体"/>
          <w:b/>
          <w:kern w:val="0"/>
          <w:sz w:val="24"/>
          <w:szCs w:val="20"/>
        </w:rPr>
        <w:t xml:space="preserve"> </w:t>
      </w:r>
      <w:r>
        <w:rPr>
          <w:rFonts w:hint="eastAsia" w:ascii="宋体" w:hAnsi="宋体" w:cs="宋体"/>
          <w:b/>
          <w:kern w:val="0"/>
          <w:sz w:val="24"/>
          <w:szCs w:val="20"/>
        </w:rPr>
        <w:t>其它</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本合同未尽事宜，由甲乙双方另行签订补充协议，补充协议是本合同的组成部分，与本合同具有同等法律效力。</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本合同壹式肆份，甲方执叁份，乙方执壹份。自双方签字、盖章之日生效。</w:t>
      </w:r>
    </w:p>
    <w:p>
      <w:pPr>
        <w:widowControl/>
        <w:spacing w:before="156" w:after="156" w:line="360" w:lineRule="exact"/>
        <w:jc w:val="left"/>
        <w:rPr>
          <w:rFonts w:ascii="宋体" w:cs="宋体"/>
          <w:b/>
          <w:kern w:val="0"/>
          <w:sz w:val="24"/>
          <w:szCs w:val="20"/>
        </w:rPr>
      </w:pPr>
      <w:r>
        <w:rPr>
          <w:rFonts w:hint="eastAsia" w:ascii="宋体" w:hAnsi="宋体" w:cs="宋体"/>
          <w:b/>
          <w:kern w:val="0"/>
          <w:sz w:val="24"/>
          <w:szCs w:val="20"/>
        </w:rPr>
        <w:t>甲方：</w:t>
      </w:r>
      <w:r>
        <w:rPr>
          <w:rFonts w:hint="eastAsia" w:ascii="宋体" w:hAnsi="宋体" w:cs="宋体"/>
          <w:b/>
          <w:kern w:val="0"/>
          <w:sz w:val="24"/>
          <w:szCs w:val="20"/>
          <w:u w:val="single"/>
        </w:rPr>
        <w:t>徐州医科大学附属第三医院</w:t>
      </w:r>
      <w:r>
        <w:rPr>
          <w:rFonts w:hint="eastAsia" w:ascii="宋体" w:hAnsi="宋体" w:cs="宋体"/>
          <w:b/>
          <w:kern w:val="0"/>
          <w:sz w:val="24"/>
          <w:szCs w:val="20"/>
        </w:rPr>
        <w:t>（盖章）乙方：</w:t>
      </w:r>
      <w:r>
        <w:rPr>
          <w:rFonts w:ascii="宋体" w:cs="宋体"/>
          <w:b/>
          <w:kern w:val="0"/>
          <w:sz w:val="24"/>
          <w:szCs w:val="20"/>
          <w:u w:val="single"/>
        </w:rPr>
        <w:t> </w:t>
      </w:r>
      <w:r>
        <w:rPr>
          <w:rFonts w:ascii="宋体" w:hAnsi="宋体" w:cs="宋体"/>
          <w:b/>
          <w:kern w:val="0"/>
          <w:sz w:val="24"/>
          <w:szCs w:val="20"/>
          <w:u w:val="single"/>
        </w:rPr>
        <w:t xml:space="preserve">                </w:t>
      </w:r>
      <w:r>
        <w:rPr>
          <w:rFonts w:hint="eastAsia" w:ascii="宋体" w:hAnsi="宋体" w:cs="宋体"/>
          <w:b/>
          <w:kern w:val="0"/>
          <w:sz w:val="24"/>
          <w:szCs w:val="20"/>
        </w:rPr>
        <w:t>（盖章）</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委托代表人</w:t>
      </w:r>
      <w:r>
        <w:rPr>
          <w:rFonts w:hint="eastAsia" w:ascii="宋体" w:hAnsi="宋体" w:cs="宋体"/>
          <w:kern w:val="0"/>
          <w:sz w:val="24"/>
          <w:szCs w:val="20"/>
        </w:rPr>
        <w:t>：</w:t>
      </w:r>
      <w:r>
        <w:rPr>
          <w:rFonts w:hint="eastAsia" w:ascii="宋体" w:hAnsi="宋体" w:cs="宋体"/>
          <w:b/>
          <w:kern w:val="0"/>
          <w:sz w:val="24"/>
          <w:szCs w:val="20"/>
        </w:rPr>
        <w:t>委托代表人</w:t>
      </w:r>
      <w:r>
        <w:rPr>
          <w:rFonts w:hint="eastAsia" w:ascii="宋体" w:hAnsi="宋体" w:cs="宋体"/>
          <w:kern w:val="0"/>
          <w:sz w:val="24"/>
          <w:szCs w:val="20"/>
        </w:rPr>
        <w:t>：</w:t>
      </w:r>
    </w:p>
    <w:p>
      <w:pPr>
        <w:widowControl/>
        <w:spacing w:line="360" w:lineRule="auto"/>
        <w:jc w:val="left"/>
        <w:rPr>
          <w:rFonts w:ascii="宋体" w:cs="宋体"/>
          <w:kern w:val="0"/>
          <w:sz w:val="24"/>
          <w:szCs w:val="20"/>
        </w:rPr>
      </w:pP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r>
        <w:rPr>
          <w:rFonts w:ascii="宋体" w:hAnsi="宋体" w:cs="宋体"/>
          <w:kern w:val="0"/>
          <w:sz w:val="24"/>
          <w:szCs w:val="20"/>
        </w:rPr>
        <w:t xml:space="preserve"> </w:t>
      </w:r>
      <w:r>
        <w:rPr>
          <w:rFonts w:hint="eastAsia" w:ascii="宋体" w:hAnsi="宋体" w:cs="宋体"/>
          <w:kern w:val="0"/>
          <w:sz w:val="24"/>
          <w:szCs w:val="20"/>
        </w:rPr>
        <w:t xml:space="preserve">             </w:t>
      </w:r>
      <w:r>
        <w:rPr>
          <w:rFonts w:ascii="宋体" w:hAnsi="宋体" w:cs="宋体"/>
          <w:kern w:val="0"/>
          <w:sz w:val="24"/>
          <w:szCs w:val="20"/>
        </w:rPr>
        <w:t xml:space="preserve"> </w:t>
      </w: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p>
    <w:p>
      <w:pPr>
        <w:widowControl/>
        <w:spacing w:line="360" w:lineRule="exact"/>
        <w:ind w:firstLine="480" w:firstLineChars="200"/>
        <w:rPr>
          <w:rFonts w:hint="eastAsia" w:ascii="宋体" w:hAnsi="宋体" w:cs="Arial"/>
          <w:kern w:val="0"/>
          <w:sz w:val="24"/>
        </w:rPr>
      </w:pPr>
    </w:p>
    <w:p>
      <w:pPr>
        <w:spacing w:line="520" w:lineRule="exact"/>
        <w:ind w:firstLine="480" w:firstLineChars="200"/>
        <w:rPr>
          <w:rFonts w:hint="eastAsia" w:ascii="宋体" w:hAnsi="宋体"/>
          <w:sz w:val="24"/>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pStyle w:val="2"/>
      </w:pPr>
    </w:p>
    <w:p>
      <w:pPr>
        <w:spacing w:line="360" w:lineRule="auto"/>
        <w:ind w:firstLine="602" w:firstLineChars="200"/>
        <w:jc w:val="center"/>
        <w:rPr>
          <w:rFonts w:hAnsi="宋体"/>
          <w:b/>
          <w:bCs/>
          <w:color w:val="FF0000"/>
          <w:sz w:val="30"/>
          <w:szCs w:val="30"/>
        </w:rPr>
      </w:pPr>
      <w:r>
        <w:rPr>
          <w:rFonts w:hint="eastAsia" w:hAnsi="宋体" w:cs="宋体"/>
          <w:b/>
          <w:bCs/>
          <w:color w:val="FF0000"/>
          <w:sz w:val="30"/>
          <w:szCs w:val="30"/>
        </w:rPr>
        <w:t>招标文件的格式</w:t>
      </w:r>
    </w:p>
    <w:p>
      <w:pPr>
        <w:pStyle w:val="3"/>
        <w:rPr>
          <w:rFonts w:ascii="黑体" w:eastAsia="黑体" w:cs="黑体"/>
          <w:color w:val="000000"/>
          <w:sz w:val="44"/>
          <w:szCs w:val="44"/>
        </w:rPr>
      </w:pPr>
    </w:p>
    <w:p>
      <w:pPr>
        <w:pStyle w:val="14"/>
        <w:spacing w:before="0" w:beforeAutospacing="0" w:after="0" w:afterAutospacing="0"/>
        <w:jc w:val="center"/>
        <w:rPr>
          <w:rFonts w:cs="Times New Roman"/>
          <w:b/>
          <w:bCs/>
          <w:color w:val="000000"/>
          <w:sz w:val="72"/>
          <w:szCs w:val="72"/>
        </w:rPr>
      </w:pPr>
      <w:r>
        <w:rPr>
          <w:rFonts w:hint="eastAsia"/>
          <w:b/>
          <w:bCs/>
          <w:color w:val="000000"/>
          <w:sz w:val="72"/>
          <w:szCs w:val="72"/>
        </w:rPr>
        <w:t>招标文件</w:t>
      </w:r>
    </w:p>
    <w:p>
      <w:pPr>
        <w:pStyle w:val="14"/>
        <w:spacing w:before="0" w:beforeAutospacing="0" w:after="0" w:afterAutospacing="0"/>
        <w:jc w:val="center"/>
        <w:rPr>
          <w:b/>
          <w:bCs/>
          <w:color w:val="000000"/>
          <w:sz w:val="36"/>
          <w:szCs w:val="36"/>
        </w:rPr>
      </w:pPr>
    </w:p>
    <w:p>
      <w:pPr>
        <w:pStyle w:val="14"/>
        <w:spacing w:before="0" w:beforeAutospacing="0" w:after="0" w:afterAutospacing="0"/>
        <w:jc w:val="center"/>
        <w:rPr>
          <w:b/>
          <w:bCs/>
          <w:color w:val="000000"/>
          <w:sz w:val="36"/>
          <w:szCs w:val="36"/>
        </w:rPr>
      </w:pPr>
    </w:p>
    <w:p>
      <w:pPr>
        <w:pStyle w:val="14"/>
        <w:spacing w:before="0" w:beforeAutospacing="0" w:after="0" w:afterAutospacing="0"/>
        <w:jc w:val="center"/>
        <w:rPr>
          <w:b/>
          <w:bCs/>
          <w:color w:val="000000"/>
          <w:sz w:val="36"/>
          <w:szCs w:val="36"/>
        </w:rPr>
      </w:pPr>
    </w:p>
    <w:p>
      <w:pPr>
        <w:pStyle w:val="14"/>
        <w:spacing w:before="0" w:beforeAutospacing="0" w:after="0" w:afterAutospacing="0"/>
        <w:ind w:firstLine="2160"/>
        <w:jc w:val="both"/>
        <w:rPr>
          <w:b/>
          <w:bCs/>
          <w:color w:val="000000"/>
          <w:sz w:val="36"/>
          <w:szCs w:val="36"/>
          <w:u w:val="single"/>
        </w:rPr>
      </w:pPr>
      <w:r>
        <w:rPr>
          <w:rFonts w:hint="eastAsia"/>
          <w:b/>
          <w:bCs/>
          <w:color w:val="000000"/>
          <w:sz w:val="36"/>
          <w:szCs w:val="36"/>
        </w:rPr>
        <w:t>项目名称：</w:t>
      </w:r>
    </w:p>
    <w:p>
      <w:pPr>
        <w:pStyle w:val="14"/>
        <w:spacing w:before="0" w:beforeAutospacing="0" w:after="0" w:afterAutospacing="0"/>
        <w:ind w:firstLine="2160"/>
        <w:jc w:val="both"/>
        <w:rPr>
          <w:b/>
          <w:bCs/>
          <w:color w:val="000000"/>
          <w:sz w:val="36"/>
          <w:szCs w:val="36"/>
          <w:u w:val="single"/>
        </w:rPr>
      </w:pPr>
      <w:r>
        <w:rPr>
          <w:rFonts w:hint="eastAsia"/>
          <w:b/>
          <w:bCs/>
          <w:color w:val="000000"/>
          <w:sz w:val="36"/>
          <w:szCs w:val="36"/>
        </w:rPr>
        <w:t>项目编号：</w:t>
      </w:r>
    </w:p>
    <w:p>
      <w:pPr>
        <w:pStyle w:val="14"/>
        <w:spacing w:before="0" w:beforeAutospacing="0" w:after="0" w:afterAutospacing="0"/>
        <w:ind w:firstLine="2168" w:firstLineChars="600"/>
        <w:jc w:val="both"/>
        <w:rPr>
          <w:b/>
          <w:bCs/>
          <w:color w:val="000000"/>
          <w:sz w:val="36"/>
          <w:szCs w:val="36"/>
          <w:u w:val="single"/>
        </w:rPr>
      </w:pPr>
      <w:r>
        <w:rPr>
          <w:rFonts w:hint="eastAsia"/>
          <w:b/>
          <w:bCs/>
          <w:color w:val="000000"/>
          <w:sz w:val="36"/>
          <w:szCs w:val="36"/>
        </w:rPr>
        <w:t>供应商名称：</w:t>
      </w:r>
    </w:p>
    <w:p>
      <w:pPr>
        <w:pStyle w:val="14"/>
        <w:spacing w:before="0" w:beforeAutospacing="0" w:after="0" w:afterAutospacing="0"/>
        <w:jc w:val="both"/>
        <w:rPr>
          <w:b/>
          <w:bCs/>
          <w:color w:val="000000"/>
          <w:sz w:val="36"/>
          <w:szCs w:val="36"/>
          <w:u w:val="single"/>
        </w:rPr>
      </w:pPr>
      <w:r>
        <w:rPr>
          <w:rFonts w:hint="eastAsia"/>
          <w:b/>
          <w:bCs/>
          <w:color w:val="000000"/>
          <w:sz w:val="36"/>
          <w:szCs w:val="36"/>
        </w:rPr>
        <w:t>日期：</w:t>
      </w:r>
    </w:p>
    <w:p>
      <w:pPr>
        <w:pStyle w:val="14"/>
        <w:spacing w:before="0" w:beforeAutospacing="0" w:after="0" w:afterAutospacing="0"/>
        <w:jc w:val="both"/>
        <w:rPr>
          <w:b/>
          <w:bCs/>
          <w:color w:val="000000"/>
          <w:sz w:val="36"/>
          <w:szCs w:val="36"/>
          <w:u w:val="single"/>
        </w:rPr>
      </w:pPr>
    </w:p>
    <w:p>
      <w:pPr>
        <w:pStyle w:val="14"/>
        <w:spacing w:before="0" w:beforeAutospacing="0" w:after="0" w:afterAutospacing="0"/>
        <w:jc w:val="both"/>
        <w:rPr>
          <w:b/>
          <w:bCs/>
          <w:color w:val="000000"/>
          <w:sz w:val="32"/>
          <w:szCs w:val="32"/>
        </w:rPr>
      </w:pPr>
      <w:r>
        <w:rPr>
          <w:rFonts w:hint="eastAsia"/>
          <w:b/>
          <w:bCs/>
          <w:color w:val="000000"/>
          <w:u w:val="single"/>
        </w:rPr>
        <w:t>（对以下招标响应文件格式，供应商可根据自身情况进行补充和修改，但补充和修改不得造成与本格式内容有实质性的违背。）</w:t>
      </w: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Lines="50" w:line="280" w:lineRule="exact"/>
        <w:jc w:val="left"/>
        <w:rPr>
          <w:rFonts w:ascii="宋体"/>
          <w:u w:val="single"/>
        </w:rPr>
      </w:pPr>
      <w:r>
        <w:rPr>
          <w:rFonts w:hint="eastAsia" w:ascii="宋体" w:hAnsi="宋体" w:cs="宋体"/>
          <w:u w:val="single"/>
        </w:rPr>
        <w:t>徐州医科大学附属第三医院（采购人）：</w:t>
      </w:r>
    </w:p>
    <w:p>
      <w:pPr>
        <w:spacing w:line="280" w:lineRule="exact"/>
        <w:ind w:firstLine="420" w:firstLineChars="200"/>
        <w:rPr>
          <w:rFonts w:ascii="宋体"/>
        </w:rPr>
      </w:pPr>
      <w:r>
        <w:rPr>
          <w:rFonts w:hint="eastAsia" w:ascii="宋体" w:hAnsi="宋体" w:cs="宋体"/>
          <w:u w:val="single"/>
        </w:rPr>
        <w:t>供应商全称</w:t>
      </w:r>
      <w:r>
        <w:rPr>
          <w:rFonts w:hint="eastAsia" w:ascii="宋体" w:hAnsi="宋体" w:cs="宋体"/>
        </w:rPr>
        <w:t>授权</w:t>
      </w:r>
      <w:r>
        <w:rPr>
          <w:rFonts w:hint="eastAsia" w:ascii="宋体" w:hAnsi="宋体" w:cs="宋体"/>
          <w:u w:val="single"/>
        </w:rPr>
        <w:t>供应商代表姓名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hint="eastAsia" w:ascii="宋体" w:hAnsi="宋体" w:cs="宋体"/>
          <w:u w:val="single"/>
        </w:rPr>
        <w:t>项目名称与采购编号</w:t>
      </w:r>
      <w:r>
        <w:rPr>
          <w:rFonts w:hint="eastAsia" w:ascii="宋体" w:hAnsi="宋体" w:cs="宋体"/>
        </w:rPr>
        <w:t>采购的有关活动，并对此项目以总价元进行投标。为此：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、我方同意在本项目招标文件中规定的投标日起日内遵守本文中的承诺且在此期限期满之前均具有约束力。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、我方完全接受招标文件要求的内容，愿承担该项目的实施和售后服务任务，并将履行招标文件对成交供应商的要求和应承担的责任及义务。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、我方已详细地阅读了招标文件的全部内容，包括澄清及参考文件（如果有的话），我方完全理解并同意放弃对这方面有不明及误解的权利。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kern w:val="0"/>
        </w:rPr>
      </w:pPr>
      <w:r>
        <w:rPr>
          <w:rFonts w:ascii="宋体" w:hAnsi="宋体" w:cs="宋体"/>
          <w:kern w:val="0"/>
        </w:rPr>
        <w:t>4</w:t>
      </w:r>
      <w:r>
        <w:rPr>
          <w:rFonts w:hint="eastAsia" w:ascii="宋体" w:hAnsi="宋体" w:cs="宋体"/>
          <w:kern w:val="0"/>
        </w:rPr>
        <w:t>、我方愿意按照招标文件中的一切要求，提供招标文件所要求的购买（制造）及技术服务，投标各项总报价为：</w:t>
      </w:r>
    </w:p>
    <w:p>
      <w:pPr>
        <w:widowControl/>
        <w:snapToGrid w:val="0"/>
        <w:spacing w:line="280" w:lineRule="exact"/>
        <w:ind w:right="-19" w:firstLine="420" w:firstLineChars="200"/>
        <w:jc w:val="left"/>
        <w:rPr>
          <w:rFonts w:ascii="宋体"/>
          <w:kern w:val="0"/>
        </w:rPr>
      </w:pPr>
      <w:r>
        <w:rPr>
          <w:rFonts w:hint="eastAsia" w:ascii="宋体" w:hAnsi="宋体" w:cs="宋体"/>
          <w:kern w:val="0"/>
        </w:rPr>
        <w:t>人民币（大写）：元</w:t>
      </w:r>
      <w:r>
        <w:rPr>
          <w:rFonts w:ascii="宋体" w:hAnsi="宋体" w:cs="宋体"/>
          <w:kern w:val="0"/>
        </w:rPr>
        <w:t>(</w:t>
      </w:r>
      <w:r>
        <w:rPr>
          <w:rFonts w:hint="eastAsia" w:ascii="宋体" w:hAnsi="宋体" w:cs="宋体"/>
          <w:kern w:val="0"/>
        </w:rPr>
        <w:t>￥</w:t>
      </w:r>
      <w:r>
        <w:rPr>
          <w:rFonts w:ascii="宋体" w:hAnsi="宋体" w:cs="宋体"/>
          <w:kern w:val="0"/>
        </w:rPr>
        <w:t xml:space="preserve"> )</w:t>
      </w:r>
      <w:r>
        <w:rPr>
          <w:rFonts w:hint="eastAsia" w:ascii="宋体" w:hAnsi="宋体" w:cs="宋体"/>
          <w:kern w:val="0"/>
        </w:rPr>
        <w:t>。</w:t>
      </w:r>
    </w:p>
    <w:p>
      <w:pPr>
        <w:widowControl/>
        <w:snapToGrid w:val="0"/>
        <w:spacing w:line="280" w:lineRule="exact"/>
        <w:ind w:right="-19" w:firstLine="420" w:firstLineChars="200"/>
        <w:jc w:val="left"/>
        <w:rPr>
          <w:rFonts w:ascii="宋体"/>
          <w:kern w:val="0"/>
        </w:rPr>
      </w:pPr>
      <w:r>
        <w:rPr>
          <w:rFonts w:ascii="宋体" w:hAnsi="宋体" w:cs="宋体"/>
          <w:kern w:val="0"/>
        </w:rPr>
        <w:t>5</w:t>
      </w:r>
      <w:r>
        <w:rPr>
          <w:rFonts w:hint="eastAsia" w:ascii="宋体" w:hAnsi="宋体" w:cs="宋体"/>
          <w:kern w:val="0"/>
        </w:rPr>
        <w:t>、我方按要求提交的招标响应文件为：壹份正本，伍份副本。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在投标前，我方递交金额为人民币元的投标保证金。如果我方在本招标响应文件有效期内无任何正当理由的撤回招标响应文件，或在接到中标通知书后的天内未能或拒绝签订合同，采购人将没收投标保证金，另选成交供应商。因撤回投标而对采购人造成的一切损失由我方承担。</w:t>
      </w:r>
    </w:p>
    <w:p>
      <w:pPr>
        <w:widowControl/>
        <w:snapToGrid w:val="0"/>
        <w:spacing w:line="280" w:lineRule="exact"/>
        <w:ind w:right="-19" w:firstLine="420" w:firstLineChars="200"/>
        <w:jc w:val="left"/>
        <w:rPr>
          <w:rFonts w:ascii="宋体"/>
          <w:kern w:val="0"/>
        </w:rPr>
      </w:pPr>
      <w:r>
        <w:rPr>
          <w:rFonts w:ascii="宋体" w:hAnsi="宋体" w:cs="宋体"/>
          <w:kern w:val="0"/>
        </w:rPr>
        <w:t>8</w:t>
      </w:r>
      <w:r>
        <w:rPr>
          <w:rFonts w:hint="eastAsia" w:ascii="宋体" w:hAnsi="宋体" w:cs="宋体"/>
          <w:kern w:val="0"/>
        </w:rPr>
        <w:t>、如我方中标</w:t>
      </w:r>
      <w:r>
        <w:rPr>
          <w:rFonts w:ascii="宋体" w:cs="宋体"/>
          <w:kern w:val="0"/>
        </w:rPr>
        <w:t>,</w:t>
      </w:r>
      <w:r>
        <w:rPr>
          <w:rFonts w:hint="eastAsia" w:ascii="宋体" w:hAnsi="宋体" w:cs="宋体"/>
          <w:kern w:val="0"/>
        </w:rPr>
        <w:t>我方将根据规定，严格履行合同的责任和义务</w:t>
      </w:r>
      <w:r>
        <w:rPr>
          <w:rFonts w:ascii="宋体" w:cs="宋体"/>
          <w:kern w:val="0"/>
        </w:rPr>
        <w:t>,</w:t>
      </w:r>
      <w:r>
        <w:rPr>
          <w:rFonts w:hint="eastAsia" w:ascii="宋体" w:hAnsi="宋体" w:cs="宋体"/>
          <w:kern w:val="0"/>
        </w:rPr>
        <w:t>并保证在合同规定的时间内完成项目，交付采购人使用、验收。</w:t>
      </w:r>
    </w:p>
    <w:p>
      <w:pPr>
        <w:widowControl/>
        <w:snapToGrid w:val="0"/>
        <w:spacing w:line="280" w:lineRule="exact"/>
        <w:ind w:right="-19" w:firstLine="420" w:firstLineChars="200"/>
        <w:jc w:val="left"/>
        <w:rPr>
          <w:rFonts w:ascii="宋体"/>
          <w:kern w:val="0"/>
        </w:rPr>
      </w:pPr>
      <w:r>
        <w:rPr>
          <w:rFonts w:ascii="宋体" w:hAnsi="宋体" w:cs="宋体"/>
          <w:kern w:val="0"/>
        </w:rPr>
        <w:t>9</w:t>
      </w:r>
      <w:r>
        <w:rPr>
          <w:rFonts w:hint="eastAsia" w:ascii="宋体" w:hAnsi="宋体" w:cs="宋体"/>
          <w:kern w:val="0"/>
        </w:rPr>
        <w:t>、我方承诺：采购人如果需追加采购本项目招标文件所列货物及相关服务的，在不改变合同其他实质性条款的前提下，按相同或更优惠的折扣保证供货。</w:t>
      </w:r>
    </w:p>
    <w:p>
      <w:pPr>
        <w:spacing w:line="280" w:lineRule="exact"/>
        <w:ind w:firstLine="420" w:firstLineChars="200"/>
        <w:rPr>
          <w:rFonts w:ascii="宋体"/>
        </w:rPr>
      </w:pPr>
      <w:r>
        <w:rPr>
          <w:rFonts w:ascii="宋体" w:hAnsi="宋体" w:cs="宋体"/>
        </w:rPr>
        <w:t>10</w:t>
      </w:r>
      <w:r>
        <w:rPr>
          <w:rFonts w:hint="eastAsia" w:ascii="宋体" w:hAnsi="宋体" w:cs="宋体"/>
        </w:rPr>
        <w:t>、我方将严格遵守《中华人民共和国政府采购法》的有关规定，如果有下列情形之一的，将被处以采购金额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‰以下的罚款，列入不良行为记录名单，在一至三年内禁止参加贵单位采购活动：</w:t>
      </w:r>
    </w:p>
    <w:p>
      <w:pPr>
        <w:spacing w:line="280" w:lineRule="exact"/>
        <w:ind w:firstLine="420" w:firstLineChars="200"/>
        <w:rPr>
          <w:rFonts w:ascii="宋体"/>
        </w:rPr>
      </w:pPr>
      <w:r>
        <w:rPr>
          <w:rFonts w:ascii="宋体" w:hAnsi="宋体" w:cs="宋体"/>
        </w:rPr>
        <w:t xml:space="preserve">10.1 </w:t>
      </w:r>
      <w:r>
        <w:rPr>
          <w:rFonts w:hint="eastAsia" w:ascii="宋体" w:hAnsi="宋体" w:cs="宋体"/>
        </w:rPr>
        <w:t>提供虚假材料谋取中标的；</w:t>
      </w:r>
    </w:p>
    <w:p>
      <w:pPr>
        <w:spacing w:line="280" w:lineRule="exact"/>
        <w:ind w:firstLine="420" w:firstLineChars="200"/>
        <w:rPr>
          <w:rFonts w:ascii="宋体"/>
        </w:rPr>
      </w:pPr>
      <w:r>
        <w:rPr>
          <w:rFonts w:ascii="宋体" w:hAnsi="宋体" w:cs="宋体"/>
        </w:rPr>
        <w:t xml:space="preserve">10.2 </w:t>
      </w:r>
      <w:r>
        <w:rPr>
          <w:rFonts w:hint="eastAsia" w:ascii="宋体" w:hAnsi="宋体" w:cs="宋体"/>
        </w:rPr>
        <w:t>采取不正当手段诋毁、排挤其他供应商的；</w:t>
      </w:r>
    </w:p>
    <w:p>
      <w:pPr>
        <w:spacing w:line="280" w:lineRule="exact"/>
        <w:ind w:firstLine="420" w:firstLineChars="200"/>
        <w:rPr>
          <w:rFonts w:ascii="宋体"/>
        </w:rPr>
      </w:pPr>
      <w:r>
        <w:rPr>
          <w:rFonts w:ascii="宋体" w:hAnsi="宋体" w:cs="宋体"/>
        </w:rPr>
        <w:t xml:space="preserve">10.3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ascii="宋体" w:hAnsi="宋体" w:cs="宋体"/>
        </w:rPr>
        <w:t xml:space="preserve">10.4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ascii="宋体" w:hAnsi="宋体" w:cs="宋体"/>
        </w:rPr>
        <w:t xml:space="preserve">10.5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ascii="宋体" w:hAnsi="宋体" w:cs="宋体"/>
        </w:rPr>
        <w:t xml:space="preserve">10.6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供应商地址：邮政编码：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电话：传真：</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供应商：（全称）（盖章）</w:t>
      </w:r>
    </w:p>
    <w:p>
      <w:pPr>
        <w:widowControl/>
        <w:snapToGrid w:val="0"/>
        <w:spacing w:line="400" w:lineRule="atLeast"/>
        <w:ind w:right="-19" w:firstLine="42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日期：年月日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5"/>
        <w:widowControl/>
        <w:spacing w:before="0" w:after="0"/>
        <w:jc w:val="center"/>
        <w:rPr>
          <w:rFonts w:ascii="宋体"/>
          <w:color w:val="000000"/>
        </w:rPr>
      </w:pPr>
      <w:r>
        <w:rPr>
          <w:rFonts w:hint="eastAsia" w:ascii="宋体" w:hAnsi="宋体" w:cs="宋体"/>
          <w:color w:val="000000"/>
        </w:rPr>
        <w:t>二、法定代表人授权委托书</w:t>
      </w:r>
    </w:p>
    <w:p>
      <w:pPr>
        <w:pStyle w:val="30"/>
        <w:spacing w:before="0" w:after="0" w:line="420" w:lineRule="atLeast"/>
        <w:ind w:firstLine="0"/>
        <w:rPr>
          <w:rFonts w:ascii="宋体" w:cs="Times New Roman"/>
          <w:color w:val="000000"/>
        </w:rPr>
      </w:pPr>
      <w:r>
        <w:rPr>
          <w:rFonts w:hint="eastAsia" w:ascii="宋体" w:hAnsi="宋体" w:cs="宋体"/>
          <w:color w:val="000000"/>
          <w:u w:val="single"/>
        </w:rPr>
        <w:t>徐州医科大学附属第三医院</w:t>
      </w:r>
      <w:r>
        <w:rPr>
          <w:rFonts w:hint="eastAsia" w:ascii="宋体" w:hAnsi="宋体" w:cs="宋体"/>
          <w:color w:val="000000"/>
        </w:rPr>
        <w:t>：</w:t>
      </w:r>
    </w:p>
    <w:p>
      <w:pPr>
        <w:pStyle w:val="14"/>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pPr>
        <w:pStyle w:val="14"/>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pPr>
        <w:pStyle w:val="14"/>
        <w:spacing w:before="0" w:beforeAutospacing="0" w:after="0" w:afterAutospacing="0" w:line="500" w:lineRule="atLeast"/>
        <w:ind w:firstLine="480"/>
        <w:jc w:val="both"/>
        <w:rPr>
          <w:color w:val="000000"/>
        </w:rPr>
      </w:pPr>
      <w:r>
        <w:rPr>
          <w:rFonts w:hint="eastAsia"/>
          <w:color w:val="000000"/>
        </w:rPr>
        <w:t>法定代表人签字盖章：</w:t>
      </w:r>
    </w:p>
    <w:p>
      <w:pPr>
        <w:pStyle w:val="14"/>
        <w:spacing w:before="0" w:beforeAutospacing="0" w:after="0" w:afterAutospacing="0" w:line="500" w:lineRule="atLeast"/>
        <w:ind w:firstLine="480"/>
        <w:jc w:val="both"/>
        <w:rPr>
          <w:color w:val="000000"/>
          <w:u w:val="single"/>
        </w:rPr>
      </w:pPr>
      <w:r>
        <w:rPr>
          <w:rFonts w:hint="eastAsia"/>
          <w:color w:val="000000"/>
        </w:rPr>
        <w:t>供应商代表签字盖章：</w:t>
      </w:r>
    </w:p>
    <w:p>
      <w:pPr>
        <w:pStyle w:val="14"/>
        <w:spacing w:before="0" w:beforeAutospacing="0" w:after="0" w:afterAutospacing="0" w:line="500" w:lineRule="atLeast"/>
        <w:ind w:firstLine="480"/>
        <w:jc w:val="both"/>
        <w:rPr>
          <w:color w:val="000000"/>
          <w:u w:val="single"/>
        </w:rPr>
      </w:pPr>
      <w:r>
        <w:rPr>
          <w:rFonts w:hint="eastAsia"/>
          <w:color w:val="000000"/>
        </w:rPr>
        <w:t>供应商全称（加盖公章）：</w:t>
      </w:r>
    </w:p>
    <w:p>
      <w:pPr>
        <w:pStyle w:val="14"/>
        <w:spacing w:before="0" w:beforeAutospacing="0" w:after="0" w:afterAutospacing="0" w:line="400" w:lineRule="atLeast"/>
        <w:ind w:firstLine="5880"/>
        <w:jc w:val="both"/>
        <w:rPr>
          <w:color w:val="000000"/>
        </w:rPr>
      </w:pPr>
    </w:p>
    <w:p>
      <w:pPr>
        <w:pStyle w:val="14"/>
        <w:spacing w:before="0" w:beforeAutospacing="0" w:after="0" w:afterAutospacing="0" w:line="400" w:lineRule="atLeast"/>
        <w:ind w:firstLine="5880"/>
        <w:jc w:val="both"/>
        <w:rPr>
          <w:rFonts w:cs="Times New Roman"/>
          <w:color w:val="000000"/>
        </w:rPr>
      </w:pPr>
      <w:r>
        <w:rPr>
          <w:rFonts w:hint="eastAsia"/>
          <w:color w:val="000000"/>
        </w:rPr>
        <w:t>年月日</w:t>
      </w:r>
    </w:p>
    <w:p>
      <w:pPr>
        <w:pStyle w:val="14"/>
        <w:spacing w:before="0" w:beforeAutospacing="0" w:after="0" w:afterAutospacing="0"/>
        <w:jc w:val="both"/>
        <w:rPr>
          <w:rFonts w:cs="Times New Roman"/>
        </w:rPr>
      </w:pPr>
    </w:p>
    <w:p>
      <w:pPr>
        <w:pStyle w:val="14"/>
        <w:spacing w:before="0" w:beforeAutospacing="0" w:after="0" w:afterAutospacing="0"/>
        <w:jc w:val="both"/>
        <w:rPr>
          <w:rFonts w:cs="Times New Roman"/>
        </w:rPr>
      </w:pPr>
    </w:p>
    <w:p>
      <w:pPr>
        <w:pStyle w:val="14"/>
        <w:spacing w:before="0" w:beforeAutospacing="0" w:after="0" w:afterAutospacing="0"/>
        <w:jc w:val="both"/>
        <w:rPr>
          <w:color w:val="000000"/>
        </w:rPr>
      </w:pPr>
      <w:r>
        <w:pict>
          <v:rect id="文本框 2" o:spid="_x0000_s1026" o:spt="1" style="position:absolute;left:0pt;margin-left:71.05pt;margin-top:1.15pt;height:122.3pt;width:346.75pt;z-index:251659264;mso-width-relative:page;mso-height-relative:page;"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path/>
            <v:fill focussize="0,0"/>
            <v:stroke/>
            <v:imagedata o:title=""/>
            <o:lock v:ext="edit"/>
            <v:textbox>
              <w:txbxContent>
                <w:p>
                  <w:r>
                    <w:rPr>
                      <w:rFonts w:hint="eastAsia"/>
                      <w:color w:val="000000"/>
                    </w:rPr>
                    <w:t>法定代表人</w:t>
                  </w:r>
                  <w:r>
                    <w:rPr>
                      <w:rFonts w:hint="eastAsia" w:cs="宋体"/>
                    </w:rPr>
                    <w:t>身份证复印件（正反面）</w:t>
                  </w:r>
                </w:p>
                <w:p/>
              </w:txbxContent>
            </v:textbox>
          </v:rect>
        </w:pict>
      </w:r>
      <w:r>
        <w:rPr>
          <w:rFonts w:hint="eastAsia"/>
          <w:color w:val="000000"/>
        </w:rPr>
        <w:t>附：</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w:pict>
          <v:rect id="文本框 3" o:spid="_x0000_s1027" o:spt="1" style="position:absolute;left:0pt;margin-left:71.4pt;margin-top:28.25pt;height:122.3pt;width:346.75pt;z-index:251660288;mso-width-relative:page;mso-height-relative:page;"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path/>
            <v:fill focussize="0,0"/>
            <v:stroke/>
            <v:imagedata o:title=""/>
            <o:lock v:ext="edit"/>
            <v:textbox>
              <w:txbxContent>
                <w:p>
                  <w:r>
                    <w:rPr>
                      <w:rFonts w:hint="eastAsia" w:cs="宋体"/>
                      <w:color w:val="000000"/>
                    </w:rPr>
                    <w:t>供应商代表</w:t>
                  </w:r>
                  <w:r>
                    <w:rPr>
                      <w:rFonts w:hint="eastAsia" w:cs="宋体"/>
                    </w:rPr>
                    <w:t>身份证复印件（正反面）</w:t>
                  </w:r>
                </w:p>
                <w:p/>
              </w:txbxContent>
            </v:textbox>
          </v:rect>
        </w:pic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2"/>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2"/>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对照招标文件采购人须知的第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五、供应商业绩一览表</w:t>
      </w:r>
    </w:p>
    <w:p>
      <w:pPr>
        <w:spacing w:line="440" w:lineRule="exact"/>
        <w:rPr>
          <w:color w:val="000000"/>
          <w:sz w:val="24"/>
          <w:szCs w:val="24"/>
          <w:u w:val="single"/>
        </w:rPr>
      </w:pPr>
      <w:r>
        <w:rPr>
          <w:rFonts w:hint="eastAsia" w:cs="宋体"/>
          <w:color w:val="000000"/>
          <w:sz w:val="24"/>
          <w:szCs w:val="24"/>
          <w:u w:val="single"/>
        </w:rPr>
        <w:t>徐州医科大学附属第三医院：</w:t>
      </w:r>
    </w:p>
    <w:p>
      <w:pPr>
        <w:spacing w:line="440" w:lineRule="exact"/>
        <w:ind w:firstLine="480" w:firstLineChars="200"/>
        <w:rPr>
          <w:color w:val="000000"/>
          <w:sz w:val="24"/>
          <w:szCs w:val="24"/>
        </w:rPr>
      </w:pPr>
      <w:r>
        <w:rPr>
          <w:rFonts w:hint="eastAsia" w:cs="宋体"/>
          <w:color w:val="000000"/>
          <w:sz w:val="24"/>
          <w:szCs w:val="24"/>
        </w:rPr>
        <w:t>根据已获取的</w:t>
      </w:r>
      <w:r>
        <w:rPr>
          <w:rFonts w:hint="eastAsia" w:cs="宋体"/>
          <w:color w:val="000000"/>
          <w:sz w:val="24"/>
          <w:szCs w:val="24"/>
          <w:u w:val="single"/>
        </w:rPr>
        <w:t>（项目名称）</w:t>
      </w:r>
      <w:r>
        <w:rPr>
          <w:rFonts w:hint="eastAsia" w:cs="宋体"/>
          <w:color w:val="000000"/>
          <w:sz w:val="24"/>
          <w:szCs w:val="24"/>
        </w:rPr>
        <w:t>招标文件中的要求，现将符合招标文件要求的同类项目业绩汇总如下。本表中内容如有不实，我单位愿承担一切法律责任。</w:t>
      </w:r>
    </w:p>
    <w:tbl>
      <w:tblPr>
        <w:tblStyle w:val="15"/>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p>
    <w:p>
      <w:pPr>
        <w:spacing w:line="440" w:lineRule="exact"/>
        <w:ind w:firstLine="480" w:firstLineChars="200"/>
        <w:rPr>
          <w:color w:val="000000"/>
          <w:sz w:val="24"/>
          <w:szCs w:val="24"/>
        </w:rPr>
      </w:pPr>
      <w:r>
        <w:rPr>
          <w:rFonts w:hint="eastAsia" w:cs="宋体"/>
          <w:color w:val="000000"/>
          <w:sz w:val="24"/>
          <w:szCs w:val="24"/>
        </w:rPr>
        <w:t>法定代表人签字盖章：</w:t>
      </w:r>
    </w:p>
    <w:p>
      <w:pPr>
        <w:spacing w:line="440" w:lineRule="exact"/>
        <w:ind w:firstLine="480" w:firstLineChars="200"/>
        <w:rPr>
          <w:color w:val="000000"/>
          <w:sz w:val="24"/>
          <w:szCs w:val="24"/>
        </w:rPr>
      </w:pPr>
      <w:r>
        <w:rPr>
          <w:rFonts w:hint="eastAsia" w:cs="宋体"/>
          <w:color w:val="000000"/>
          <w:sz w:val="24"/>
          <w:szCs w:val="24"/>
        </w:rPr>
        <w:t>供应商代表签字盖章：</w:t>
      </w:r>
    </w:p>
    <w:p>
      <w:pPr>
        <w:spacing w:line="440" w:lineRule="exact"/>
        <w:ind w:firstLine="5760" w:firstLineChars="2400"/>
        <w:rPr>
          <w:color w:val="000000"/>
          <w:sz w:val="24"/>
          <w:szCs w:val="24"/>
        </w:rPr>
      </w:pPr>
    </w:p>
    <w:p>
      <w:pPr>
        <w:spacing w:line="440" w:lineRule="exact"/>
        <w:ind w:firstLine="5760" w:firstLineChars="2400"/>
        <w:rPr>
          <w:color w:val="000000"/>
          <w:sz w:val="24"/>
          <w:szCs w:val="24"/>
        </w:rPr>
      </w:pPr>
      <w:r>
        <w:rPr>
          <w:rFonts w:hint="eastAsia" w:cs="宋体"/>
          <w:color w:val="000000"/>
          <w:sz w:val="24"/>
          <w:szCs w:val="24"/>
        </w:rPr>
        <w:t>年月日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六、投标报价（交货）一览表</w:t>
      </w:r>
    </w:p>
    <w:p>
      <w:pPr>
        <w:spacing w:line="440" w:lineRule="exact"/>
        <w:ind w:firstLine="480" w:firstLineChars="200"/>
        <w:rPr>
          <w:color w:val="000000"/>
          <w:sz w:val="24"/>
          <w:szCs w:val="24"/>
          <w:u w:val="single"/>
        </w:rPr>
      </w:pPr>
      <w:r>
        <w:rPr>
          <w:rFonts w:hint="eastAsia" w:cs="宋体"/>
          <w:color w:val="000000"/>
          <w:sz w:val="24"/>
          <w:szCs w:val="24"/>
        </w:rPr>
        <w:t>供应商名称（盖章）：</w:t>
      </w:r>
    </w:p>
    <w:p>
      <w:pPr>
        <w:spacing w:line="440" w:lineRule="exact"/>
        <w:ind w:firstLine="480" w:firstLineChars="200"/>
        <w:rPr>
          <w:color w:val="000000"/>
          <w:sz w:val="24"/>
          <w:szCs w:val="24"/>
          <w:u w:val="single"/>
        </w:rPr>
      </w:pPr>
      <w:r>
        <w:rPr>
          <w:rFonts w:hint="eastAsia" w:cs="宋体"/>
          <w:color w:val="000000"/>
          <w:sz w:val="24"/>
          <w:szCs w:val="24"/>
        </w:rPr>
        <w:t>项目编号：</w:t>
      </w:r>
    </w:p>
    <w:tbl>
      <w:tblPr>
        <w:tblStyle w:val="15"/>
        <w:tblpPr w:leftFromText="180" w:rightFromText="180" w:vertAnchor="page" w:horzAnchor="page" w:tblpX="1376" w:tblpY="3321"/>
        <w:tblW w:w="8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6"/>
        <w:gridCol w:w="1405"/>
        <w:gridCol w:w="872"/>
        <w:gridCol w:w="772"/>
        <w:gridCol w:w="1465"/>
        <w:gridCol w:w="596"/>
        <w:gridCol w:w="604"/>
        <w:gridCol w:w="588"/>
        <w:gridCol w:w="974"/>
        <w:gridCol w:w="12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4" w:hRule="atLeast"/>
        </w:trPr>
        <w:tc>
          <w:tcPr>
            <w:tcW w:w="426" w:type="dxa"/>
            <w:tcBorders>
              <w:top w:val="single" w:color="auto" w:sz="4" w:space="0"/>
            </w:tcBorders>
            <w:vAlign w:val="center"/>
          </w:tcPr>
          <w:p>
            <w:pPr>
              <w:jc w:val="center"/>
              <w:rPr>
                <w:rFonts w:ascii="宋体" w:eastAsia="Times New Roman"/>
                <w:sz w:val="20"/>
                <w:szCs w:val="20"/>
              </w:rPr>
            </w:pPr>
            <w:r>
              <w:rPr>
                <w:rFonts w:hint="eastAsia" w:ascii="宋体" w:cs="宋体"/>
                <w:sz w:val="20"/>
                <w:szCs w:val="20"/>
              </w:rPr>
              <w:t>序号</w:t>
            </w:r>
          </w:p>
        </w:tc>
        <w:tc>
          <w:tcPr>
            <w:tcW w:w="1405"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投标产品名称</w:t>
            </w:r>
          </w:p>
        </w:tc>
        <w:tc>
          <w:tcPr>
            <w:tcW w:w="872"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品牌</w:t>
            </w:r>
          </w:p>
        </w:tc>
        <w:tc>
          <w:tcPr>
            <w:tcW w:w="772" w:type="dxa"/>
            <w:tcBorders>
              <w:top w:val="single" w:color="auto" w:sz="4" w:space="0"/>
            </w:tcBorders>
            <w:vAlign w:val="center"/>
          </w:tcPr>
          <w:p>
            <w:pPr>
              <w:jc w:val="center"/>
              <w:rPr>
                <w:rFonts w:ascii="宋体"/>
                <w:color w:val="000000"/>
                <w:sz w:val="20"/>
                <w:szCs w:val="20"/>
              </w:rPr>
            </w:pPr>
            <w:r>
              <w:rPr>
                <w:rFonts w:hint="eastAsia" w:ascii="宋体" w:cs="宋体"/>
                <w:color w:val="0000FF"/>
                <w:sz w:val="20"/>
                <w:szCs w:val="20"/>
              </w:rPr>
              <w:t>产地</w:t>
            </w:r>
          </w:p>
        </w:tc>
        <w:tc>
          <w:tcPr>
            <w:tcW w:w="1465" w:type="dxa"/>
            <w:tcBorders>
              <w:top w:val="single" w:color="auto" w:sz="4" w:space="0"/>
            </w:tcBorders>
            <w:vAlign w:val="center"/>
          </w:tcPr>
          <w:p>
            <w:pPr>
              <w:jc w:val="center"/>
              <w:rPr>
                <w:rFonts w:ascii="宋体"/>
                <w:color w:val="000000"/>
                <w:sz w:val="20"/>
                <w:szCs w:val="20"/>
              </w:rPr>
            </w:pPr>
            <w:r>
              <w:rPr>
                <w:rFonts w:hint="eastAsia" w:ascii="宋体" w:cs="宋体"/>
                <w:color w:val="000000"/>
                <w:sz w:val="20"/>
                <w:szCs w:val="20"/>
              </w:rPr>
              <w:t>型号、规格</w:t>
            </w:r>
          </w:p>
          <w:p>
            <w:pPr>
              <w:jc w:val="center"/>
              <w:rPr>
                <w:rFonts w:ascii="宋体" w:eastAsia="Times New Roman"/>
                <w:color w:val="000000"/>
                <w:sz w:val="20"/>
                <w:szCs w:val="20"/>
              </w:rPr>
            </w:pPr>
            <w:r>
              <w:rPr>
                <w:rFonts w:hint="eastAsia" w:ascii="宋体" w:cs="宋体"/>
                <w:color w:val="000000"/>
                <w:sz w:val="20"/>
                <w:szCs w:val="20"/>
              </w:rPr>
              <w:t>（软件版本号）</w:t>
            </w:r>
          </w:p>
        </w:tc>
        <w:tc>
          <w:tcPr>
            <w:tcW w:w="596"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单位</w:t>
            </w:r>
          </w:p>
        </w:tc>
        <w:tc>
          <w:tcPr>
            <w:tcW w:w="60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单价（元）</w:t>
            </w:r>
          </w:p>
        </w:tc>
        <w:tc>
          <w:tcPr>
            <w:tcW w:w="588"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数量</w:t>
            </w:r>
          </w:p>
        </w:tc>
        <w:tc>
          <w:tcPr>
            <w:tcW w:w="97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总价（元）</w:t>
            </w:r>
          </w:p>
        </w:tc>
        <w:tc>
          <w:tcPr>
            <w:tcW w:w="1216" w:type="dxa"/>
            <w:tcBorders>
              <w:top w:val="single" w:color="auto" w:sz="4" w:space="0"/>
            </w:tcBorders>
            <w:vAlign w:val="center"/>
          </w:tcPr>
          <w:p>
            <w:pPr>
              <w:jc w:val="center"/>
              <w:rPr>
                <w:rFonts w:ascii="宋体"/>
                <w:color w:val="000000"/>
                <w:sz w:val="20"/>
                <w:szCs w:val="20"/>
              </w:rPr>
            </w:pPr>
            <w:r>
              <w:rPr>
                <w:rFonts w:ascii="宋体" w:eastAsia="Times New Roman"/>
                <w:color w:val="FF0000"/>
                <w:sz w:val="20"/>
                <w:szCs w:val="20"/>
              </w:rPr>
              <w:t>交货期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426" w:type="dxa"/>
            <w:vAlign w:val="center"/>
          </w:tcPr>
          <w:p>
            <w:pPr>
              <w:jc w:val="center"/>
              <w:rPr>
                <w:rFonts w:ascii="宋体" w:eastAsia="Times New Roman"/>
                <w:sz w:val="20"/>
                <w:szCs w:val="20"/>
              </w:rPr>
            </w:pPr>
          </w:p>
        </w:tc>
        <w:tc>
          <w:tcPr>
            <w:tcW w:w="1405" w:type="dxa"/>
            <w:vAlign w:val="center"/>
          </w:tcPr>
          <w:p>
            <w:pPr>
              <w:jc w:val="center"/>
              <w:rPr>
                <w:rFonts w:ascii="宋体" w:eastAsia="Times New Roman"/>
                <w:sz w:val="24"/>
                <w:szCs w:val="24"/>
              </w:rPr>
            </w:pPr>
          </w:p>
        </w:tc>
        <w:tc>
          <w:tcPr>
            <w:tcW w:w="872" w:type="dxa"/>
            <w:vAlign w:val="center"/>
          </w:tcPr>
          <w:p>
            <w:pPr>
              <w:jc w:val="center"/>
              <w:rPr>
                <w:rFonts w:ascii="宋体" w:eastAsia="Times New Roman"/>
                <w:sz w:val="20"/>
                <w:szCs w:val="20"/>
              </w:rPr>
            </w:pPr>
          </w:p>
        </w:tc>
        <w:tc>
          <w:tcPr>
            <w:tcW w:w="772" w:type="dxa"/>
            <w:vAlign w:val="center"/>
          </w:tcPr>
          <w:p>
            <w:pPr>
              <w:jc w:val="center"/>
              <w:rPr>
                <w:rFonts w:ascii="宋体" w:eastAsia="Times New Roman"/>
                <w:sz w:val="20"/>
                <w:szCs w:val="20"/>
              </w:rPr>
            </w:pPr>
          </w:p>
        </w:tc>
        <w:tc>
          <w:tcPr>
            <w:tcW w:w="1465" w:type="dxa"/>
            <w:vAlign w:val="center"/>
          </w:tcPr>
          <w:p>
            <w:pPr>
              <w:jc w:val="center"/>
              <w:rPr>
                <w:rFonts w:ascii="宋体" w:eastAsia="Times New Roman"/>
                <w:sz w:val="24"/>
                <w:szCs w:val="24"/>
              </w:rPr>
            </w:pPr>
          </w:p>
        </w:tc>
        <w:tc>
          <w:tcPr>
            <w:tcW w:w="596" w:type="dxa"/>
            <w:vAlign w:val="center"/>
          </w:tcPr>
          <w:p>
            <w:pPr>
              <w:jc w:val="center"/>
              <w:rPr>
                <w:rFonts w:ascii="宋体" w:eastAsia="Times New Roman"/>
                <w:sz w:val="24"/>
                <w:szCs w:val="24"/>
              </w:rPr>
            </w:pPr>
          </w:p>
        </w:tc>
        <w:tc>
          <w:tcPr>
            <w:tcW w:w="604" w:type="dxa"/>
            <w:vAlign w:val="center"/>
          </w:tcPr>
          <w:p>
            <w:pPr>
              <w:jc w:val="center"/>
              <w:rPr>
                <w:rFonts w:ascii="宋体" w:eastAsia="Times New Roman"/>
                <w:sz w:val="24"/>
                <w:szCs w:val="24"/>
                <w:highlight w:val="lightGray"/>
              </w:rPr>
            </w:pPr>
          </w:p>
        </w:tc>
        <w:tc>
          <w:tcPr>
            <w:tcW w:w="588" w:type="dxa"/>
            <w:vAlign w:val="center"/>
          </w:tcPr>
          <w:p>
            <w:pPr>
              <w:jc w:val="center"/>
              <w:rPr>
                <w:rFonts w:ascii="宋体" w:eastAsia="Times New Roman"/>
                <w:sz w:val="20"/>
                <w:szCs w:val="20"/>
              </w:rPr>
            </w:pPr>
          </w:p>
        </w:tc>
        <w:tc>
          <w:tcPr>
            <w:tcW w:w="974" w:type="dxa"/>
            <w:vAlign w:val="center"/>
          </w:tcPr>
          <w:p>
            <w:pPr>
              <w:jc w:val="center"/>
              <w:rPr>
                <w:rFonts w:ascii="宋体" w:eastAsia="Times New Roman"/>
                <w:sz w:val="20"/>
                <w:szCs w:val="20"/>
              </w:rPr>
            </w:pPr>
          </w:p>
        </w:tc>
        <w:tc>
          <w:tcPr>
            <w:tcW w:w="1216" w:type="dxa"/>
            <w:vAlign w:val="center"/>
          </w:tcPr>
          <w:p>
            <w:pPr>
              <w:jc w:val="center"/>
              <w:rPr>
                <w:rFonts w:asci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8918" w:type="dxa"/>
            <w:gridSpan w:val="10"/>
            <w:tcBorders>
              <w:bottom w:val="single" w:color="auto" w:sz="4" w:space="0"/>
            </w:tcBorders>
            <w:vAlign w:val="center"/>
          </w:tcPr>
          <w:p>
            <w:pPr>
              <w:jc w:val="left"/>
              <w:rPr>
                <w:rFonts w:ascii="宋体"/>
                <w:sz w:val="20"/>
                <w:szCs w:val="20"/>
              </w:rPr>
            </w:pPr>
            <w:r>
              <w:rPr>
                <w:rFonts w:hint="eastAsia" w:ascii="宋体" w:cs="宋体"/>
                <w:sz w:val="20"/>
                <w:szCs w:val="20"/>
              </w:rPr>
              <w:t>报价总计：元人民币</w:t>
            </w:r>
          </w:p>
          <w:p>
            <w:pPr>
              <w:jc w:val="center"/>
              <w:rPr>
                <w:rFonts w:ascii="宋体" w:eastAsia="Times New Roman"/>
                <w:sz w:val="24"/>
                <w:szCs w:val="24"/>
              </w:rPr>
            </w:pPr>
            <w:r>
              <w:rPr>
                <w:rFonts w:hint="eastAsia" w:ascii="宋体" w:cs="宋体"/>
                <w:sz w:val="20"/>
                <w:szCs w:val="20"/>
              </w:rPr>
              <w:t>（元人民币）</w:t>
            </w:r>
          </w:p>
        </w:tc>
      </w:tr>
    </w:tbl>
    <w:p>
      <w:pPr>
        <w:spacing w:line="440" w:lineRule="exact"/>
        <w:ind w:firstLine="480" w:firstLineChars="200"/>
        <w:rPr>
          <w:color w:val="000000"/>
          <w:sz w:val="24"/>
          <w:szCs w:val="24"/>
          <w:u w:val="single"/>
        </w:rPr>
      </w:pPr>
    </w:p>
    <w:p>
      <w:pPr>
        <w:spacing w:line="440" w:lineRule="exact"/>
        <w:ind w:firstLine="480" w:firstLineChars="200"/>
        <w:rPr>
          <w:rFonts w:hAnsi="宋体"/>
          <w:b/>
          <w:bCs/>
          <w:color w:val="000000"/>
        </w:rPr>
      </w:pPr>
      <w:r>
        <w:rPr>
          <w:rFonts w:hint="eastAsia" w:cs="宋体"/>
          <w:color w:val="000000"/>
          <w:sz w:val="24"/>
          <w:szCs w:val="24"/>
        </w:rPr>
        <w:t>注：</w:t>
      </w:r>
      <w:r>
        <w:rPr>
          <w:rFonts w:hAnsi="宋体"/>
          <w:b/>
          <w:bCs/>
          <w:color w:val="000000"/>
        </w:rPr>
        <w:t>1</w:t>
      </w:r>
      <w:r>
        <w:rPr>
          <w:rFonts w:hint="eastAsia" w:hAnsi="宋体" w:cs="宋体"/>
          <w:b/>
          <w:bCs/>
          <w:color w:val="000000"/>
        </w:rPr>
        <w:t>、本表可根据实际自行扩展。</w:t>
      </w:r>
    </w:p>
    <w:p>
      <w:pPr>
        <w:spacing w:line="440" w:lineRule="exact"/>
        <w:ind w:firstLine="422" w:firstLineChars="200"/>
        <w:rPr>
          <w:rFonts w:hAnsi="宋体"/>
          <w:b/>
          <w:bCs/>
          <w:color w:val="000000"/>
        </w:rPr>
      </w:pPr>
      <w:r>
        <w:rPr>
          <w:rFonts w:hAnsi="宋体"/>
          <w:b/>
          <w:bCs/>
          <w:color w:val="000000"/>
        </w:rPr>
        <w:t xml:space="preserve">     2</w:t>
      </w:r>
      <w:r>
        <w:rPr>
          <w:rFonts w:hint="eastAsia" w:hAnsi="宋体" w:cs="宋体"/>
          <w:b/>
          <w:bCs/>
          <w:color w:val="000000"/>
        </w:rPr>
        <w:t>、要求“报价总计”分别用大小写。</w:t>
      </w:r>
    </w:p>
    <w:p>
      <w:pPr>
        <w:spacing w:line="440" w:lineRule="exact"/>
        <w:ind w:firstLine="422" w:firstLineChars="200"/>
        <w:rPr>
          <w:rFonts w:hAnsi="宋体"/>
          <w:b/>
          <w:bCs/>
          <w:color w:val="000000"/>
        </w:rPr>
      </w:pPr>
      <w:r>
        <w:rPr>
          <w:rFonts w:hAnsi="宋体"/>
          <w:b/>
          <w:bCs/>
          <w:color w:val="000000"/>
        </w:rPr>
        <w:t xml:space="preserve">     3</w:t>
      </w:r>
      <w:r>
        <w:rPr>
          <w:rFonts w:hint="eastAsia" w:hAnsi="宋体" w:cs="宋体"/>
          <w:b/>
          <w:bCs/>
          <w:color w:val="000000"/>
        </w:rPr>
        <w:t>、投标价格根据招标文件要求应包含交付使用前的所有费用。</w:t>
      </w:r>
    </w:p>
    <w:p>
      <w:pPr>
        <w:spacing w:line="440" w:lineRule="exact"/>
        <w:ind w:firstLine="422" w:firstLineChars="200"/>
        <w:rPr>
          <w:rFonts w:hAnsi="宋体"/>
          <w:b/>
          <w:bCs/>
          <w:color w:val="0000FF"/>
        </w:rPr>
      </w:pPr>
    </w:p>
    <w:p>
      <w:pPr>
        <w:spacing w:line="440" w:lineRule="exact"/>
        <w:ind w:firstLine="422" w:firstLineChars="200"/>
        <w:rPr>
          <w:b/>
          <w:bCs/>
          <w:color w:val="FF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80" w:firstLineChars="200"/>
        <w:rPr>
          <w:color w:val="000000"/>
          <w:sz w:val="24"/>
          <w:szCs w:val="24"/>
          <w:u w:val="single"/>
        </w:rPr>
      </w:pPr>
      <w:r>
        <w:rPr>
          <w:rFonts w:hint="eastAsia" w:cs="宋体"/>
          <w:color w:val="000000"/>
          <w:sz w:val="24"/>
          <w:szCs w:val="24"/>
        </w:rPr>
        <w:t>法定代表人或供应商代表签字：</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s="宋体"/>
          <w:color w:val="000000"/>
          <w:sz w:val="24"/>
          <w:szCs w:val="24"/>
        </w:rPr>
        <w:t>日期：年月日</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七、技术参数响应偏离表</w:t>
      </w:r>
    </w:p>
    <w:tbl>
      <w:tblPr>
        <w:tblStyle w:val="1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74"/>
        <w:gridCol w:w="2308"/>
        <w:gridCol w:w="2174"/>
        <w:gridCol w:w="14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74"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技术参数</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08"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采购技术参数</w:t>
            </w:r>
          </w:p>
        </w:tc>
        <w:tc>
          <w:tcPr>
            <w:tcW w:w="2174"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投标技术参数</w:t>
            </w:r>
          </w:p>
        </w:tc>
        <w:tc>
          <w:tcPr>
            <w:tcW w:w="1475"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78"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bl>
    <w:p>
      <w:pPr>
        <w:rPr>
          <w:rFonts w:hAnsi="宋体"/>
          <w:sz w:val="24"/>
          <w:szCs w:val="24"/>
        </w:rPr>
      </w:pPr>
      <w:r>
        <w:rPr>
          <w:rFonts w:hint="eastAsia" w:ascii="宋体" w:hAnsi="宋体" w:cs="宋体"/>
          <w:sz w:val="24"/>
          <w:szCs w:val="24"/>
        </w:rPr>
        <w:t>注：本表可根据实际自行扩展</w:t>
      </w:r>
      <w:r>
        <w:rPr>
          <w:rFonts w:hint="eastAsia" w:hAnsi="宋体" w:cs="宋体"/>
          <w:sz w:val="24"/>
          <w:szCs w:val="24"/>
        </w:rPr>
        <w:t>，排列顺序对照采购技术参数顺序填写。</w:t>
      </w:r>
    </w:p>
    <w:p>
      <w:pPr>
        <w:widowControl/>
        <w:spacing w:before="150" w:after="156" w:line="360" w:lineRule="auto"/>
        <w:jc w:val="left"/>
        <w:rPr>
          <w:color w:val="000000"/>
          <w:sz w:val="24"/>
          <w:szCs w:val="24"/>
          <w:u w:val="single"/>
        </w:rPr>
      </w:pPr>
      <w:r>
        <w:rPr>
          <w:rFonts w:hint="eastAsia" w:cs="宋体"/>
          <w:color w:val="000000"/>
          <w:sz w:val="24"/>
          <w:szCs w:val="24"/>
        </w:rPr>
        <w:t>供应商名称（盖章）：</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法定代表人或供应商代表签字：日期：年月日</w:t>
      </w: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八、其他要求响应偏离表</w:t>
      </w:r>
    </w:p>
    <w:tbl>
      <w:tblPr>
        <w:tblStyle w:val="15"/>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95"/>
        <w:gridCol w:w="2319"/>
        <w:gridCol w:w="2225"/>
        <w:gridCol w:w="144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95"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其他要求</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19"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采购要求</w:t>
            </w:r>
          </w:p>
        </w:tc>
        <w:tc>
          <w:tcPr>
            <w:tcW w:w="2225"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投标响应情况</w:t>
            </w:r>
          </w:p>
        </w:tc>
        <w:tc>
          <w:tcPr>
            <w:tcW w:w="1443"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49"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bl>
    <w:p>
      <w:pPr>
        <w:widowControl/>
        <w:spacing w:before="150" w:after="156" w:line="360" w:lineRule="auto"/>
        <w:rPr>
          <w:rFonts w:ascii="宋体"/>
          <w:b/>
          <w:bCs/>
          <w:sz w:val="36"/>
          <w:szCs w:val="36"/>
        </w:rPr>
      </w:pPr>
      <w:r>
        <w:rPr>
          <w:rFonts w:hint="eastAsia" w:ascii="宋体" w:hAnsi="宋体" w:cs="宋体"/>
          <w:sz w:val="24"/>
          <w:szCs w:val="24"/>
        </w:rPr>
        <w:t>注：本表可根据实际自行扩展</w:t>
      </w:r>
      <w:r>
        <w:rPr>
          <w:rFonts w:hint="eastAsia" w:hAnsi="宋体" w:cs="宋体"/>
          <w:sz w:val="24"/>
          <w:szCs w:val="24"/>
        </w:rPr>
        <w:t>，排列顺序对照招标文件商务要求顺序填写。</w:t>
      </w:r>
    </w:p>
    <w:p>
      <w:pPr>
        <w:widowControl/>
        <w:spacing w:before="150" w:after="156" w:line="360" w:lineRule="auto"/>
        <w:jc w:val="left"/>
        <w:rPr>
          <w:color w:val="000000"/>
          <w:sz w:val="24"/>
          <w:szCs w:val="24"/>
          <w:u w:val="single"/>
        </w:rPr>
      </w:pPr>
      <w:r>
        <w:rPr>
          <w:rFonts w:hint="eastAsia" w:cs="宋体"/>
          <w:color w:val="000000"/>
          <w:sz w:val="24"/>
          <w:szCs w:val="24"/>
        </w:rPr>
        <w:t>投标人名称（盖章）：</w:t>
      </w:r>
    </w:p>
    <w:p>
      <w:pPr>
        <w:widowControl/>
        <w:spacing w:before="150" w:after="156" w:line="360" w:lineRule="auto"/>
        <w:jc w:val="left"/>
        <w:rPr>
          <w:color w:val="000000"/>
          <w:sz w:val="24"/>
          <w:szCs w:val="24"/>
        </w:rPr>
      </w:pPr>
      <w:r>
        <w:rPr>
          <w:rFonts w:hint="eastAsia" w:cs="宋体"/>
          <w:color w:val="000000"/>
          <w:sz w:val="24"/>
          <w:szCs w:val="24"/>
        </w:rPr>
        <w:t>法定代表人或投标人代表签字：日期：年月日</w:t>
      </w: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九、售后服务承诺书</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徐州医科大学附属第三医院：</w:t>
      </w:r>
    </w:p>
    <w:p>
      <w:pPr>
        <w:spacing w:line="440" w:lineRule="exact"/>
        <w:ind w:firstLine="480" w:firstLineChars="200"/>
        <w:rPr>
          <w:rFonts w:ascii="宋体"/>
          <w:sz w:val="24"/>
          <w:szCs w:val="24"/>
        </w:rPr>
      </w:pPr>
      <w:r>
        <w:rPr>
          <w:rFonts w:hint="eastAsia" w:ascii="宋体" w:hAnsi="宋体" w:cs="宋体"/>
          <w:sz w:val="24"/>
          <w:szCs w:val="24"/>
        </w:rPr>
        <w:t>我方若能中标，对项目软硬件质量保证、供货部署时间、技术培训、质保期、响应时间等作如下承诺：</w:t>
      </w:r>
    </w:p>
    <w:p>
      <w:pPr>
        <w:spacing w:line="440" w:lineRule="exact"/>
        <w:ind w:firstLine="480" w:firstLineChars="200"/>
        <w:rPr>
          <w:rFonts w:ascii="宋体"/>
          <w:sz w:val="24"/>
          <w:szCs w:val="24"/>
        </w:rPr>
      </w:pPr>
      <w:r>
        <w:rPr>
          <w:rFonts w:hint="eastAsia" w:ascii="宋体" w:hAnsi="宋体" w:cs="宋体"/>
          <w:sz w:val="24"/>
          <w:szCs w:val="24"/>
        </w:rPr>
        <w:t>一、</w:t>
      </w:r>
    </w:p>
    <w:p>
      <w:pPr>
        <w:spacing w:line="440" w:lineRule="exact"/>
        <w:ind w:firstLine="480" w:firstLineChars="200"/>
        <w:rPr>
          <w:rFonts w:ascii="宋体"/>
          <w:sz w:val="24"/>
          <w:szCs w:val="24"/>
        </w:rPr>
      </w:pPr>
      <w:r>
        <w:rPr>
          <w:rFonts w:hint="eastAsia" w:ascii="宋体" w:hAnsi="宋体" w:cs="宋体"/>
          <w:sz w:val="24"/>
          <w:szCs w:val="24"/>
        </w:rPr>
        <w:t>二、</w:t>
      </w:r>
    </w:p>
    <w:p>
      <w:pPr>
        <w:spacing w:line="440" w:lineRule="exact"/>
        <w:ind w:firstLine="480" w:firstLineChars="200"/>
        <w:rPr>
          <w:rFonts w:ascii="宋体"/>
          <w:sz w:val="24"/>
          <w:szCs w:val="24"/>
        </w:rPr>
      </w:pPr>
      <w:r>
        <w:rPr>
          <w:rFonts w:hint="eastAsia" w:ascii="宋体" w:hAnsi="宋体" w:cs="宋体"/>
          <w:sz w:val="24"/>
          <w:szCs w:val="24"/>
        </w:rPr>
        <w:t>三、</w:t>
      </w:r>
    </w:p>
    <w:p>
      <w:pPr>
        <w:spacing w:line="440" w:lineRule="exact"/>
        <w:ind w:firstLine="480" w:firstLineChars="200"/>
        <w:rPr>
          <w:rFonts w:ascii="宋体"/>
          <w:sz w:val="24"/>
          <w:szCs w:val="24"/>
        </w:rPr>
      </w:pPr>
      <w:r>
        <w:rPr>
          <w:rFonts w:hint="eastAsia" w:ascii="宋体" w:hAnsi="宋体" w:cs="宋体"/>
          <w:sz w:val="24"/>
          <w:szCs w:val="24"/>
        </w:rPr>
        <w:t>四、</w:t>
      </w:r>
    </w:p>
    <w:p>
      <w:pPr>
        <w:spacing w:line="440" w:lineRule="exact"/>
        <w:ind w:firstLine="480" w:firstLineChars="200"/>
        <w:rPr>
          <w:rFonts w:ascii="宋体"/>
          <w:sz w:val="24"/>
          <w:szCs w:val="24"/>
        </w:rPr>
      </w:pPr>
      <w:r>
        <w:rPr>
          <w:rFonts w:hint="eastAsia" w:ascii="宋体" w:hAnsi="宋体" w:cs="宋体"/>
          <w:sz w:val="24"/>
          <w:szCs w:val="24"/>
        </w:rPr>
        <w:t>五、</w:t>
      </w:r>
    </w:p>
    <w:p>
      <w:pPr>
        <w:spacing w:line="440" w:lineRule="exact"/>
        <w:ind w:firstLine="480" w:firstLineChars="200"/>
        <w:rPr>
          <w:rFonts w:ascii="宋体"/>
          <w:sz w:val="24"/>
          <w:szCs w:val="24"/>
        </w:rPr>
      </w:pPr>
      <w:r>
        <w:rPr>
          <w:rFonts w:hint="eastAsia" w:ascii="宋体" w:hAnsi="宋体" w:cs="宋体"/>
          <w:sz w:val="24"/>
          <w:szCs w:val="24"/>
        </w:rPr>
        <w:t>（售后服务是否有当地服务机构和人员以及设备。如有，提供相关营业执照税务登记证企业组织机构代码证和工具图片等证据。如无，提供最近地区的服务机构并给出售后服务的详细承诺。）</w:t>
      </w:r>
    </w:p>
    <w:p>
      <w:pPr>
        <w:spacing w:line="440" w:lineRule="exact"/>
        <w:ind w:firstLine="480" w:firstLineChars="200"/>
        <w:rPr>
          <w:rFonts w:ascii="宋体"/>
          <w:sz w:val="24"/>
          <w:szCs w:val="24"/>
        </w:rPr>
      </w:pPr>
      <w:r>
        <w:rPr>
          <w:rFonts w:hint="eastAsia" w:ascii="宋体" w:hAnsi="宋体" w:cs="宋体"/>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left"/>
        <w:rPr>
          <w:color w:val="000000"/>
          <w:sz w:val="24"/>
          <w:szCs w:val="24"/>
          <w:u w:val="single"/>
        </w:rPr>
      </w:pPr>
      <w:r>
        <w:rPr>
          <w:rFonts w:hint="eastAsia" w:cs="宋体"/>
          <w:color w:val="000000"/>
          <w:sz w:val="24"/>
          <w:szCs w:val="24"/>
        </w:rPr>
        <w:t>投标单位名称（盖章）：</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p>
    <w:p>
      <w:pPr>
        <w:widowControl/>
        <w:spacing w:before="150" w:after="156" w:line="360" w:lineRule="auto"/>
        <w:jc w:val="left"/>
        <w:rPr>
          <w:color w:val="000000"/>
          <w:sz w:val="24"/>
          <w:szCs w:val="24"/>
        </w:rPr>
      </w:pPr>
      <w:r>
        <w:rPr>
          <w:rFonts w:hint="eastAsia" w:cs="宋体"/>
          <w:color w:val="000000"/>
          <w:sz w:val="24"/>
          <w:szCs w:val="24"/>
        </w:rPr>
        <w:t>日期：年月日</w:t>
      </w: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十、其他说明、证书、承诺等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徐州医科大学附属第三医院：</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rFonts w:hint="eastAsia" w:cs="宋体"/>
          <w:color w:val="000000"/>
          <w:sz w:val="24"/>
          <w:szCs w:val="24"/>
        </w:rPr>
        <w:t>供应商名称（盖章）：</w:t>
      </w:r>
    </w:p>
    <w:p>
      <w:pPr>
        <w:widowControl/>
        <w:spacing w:before="150" w:after="156" w:line="360" w:lineRule="auto"/>
        <w:rPr>
          <w:color w:val="000000"/>
          <w:sz w:val="24"/>
          <w:szCs w:val="24"/>
        </w:rPr>
      </w:pPr>
      <w:r>
        <w:rPr>
          <w:rFonts w:hint="eastAsia" w:cs="宋体"/>
          <w:color w:val="000000"/>
          <w:sz w:val="24"/>
          <w:szCs w:val="24"/>
        </w:rPr>
        <w:t>法定代表人或供应商代表签字：</w:t>
      </w:r>
    </w:p>
    <w:p>
      <w:pPr>
        <w:widowControl/>
        <w:spacing w:before="150" w:after="156" w:line="360" w:lineRule="auto"/>
        <w:rPr>
          <w:color w:val="000000"/>
          <w:sz w:val="24"/>
          <w:szCs w:val="24"/>
        </w:rPr>
      </w:pPr>
      <w:r>
        <w:rPr>
          <w:rFonts w:hint="eastAsia" w:cs="宋体"/>
          <w:color w:val="000000"/>
          <w:sz w:val="24"/>
          <w:szCs w:val="24"/>
        </w:rPr>
        <w:t>日期：年月日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altName w:val="Microsoft JhengHei"/>
    <w:panose1 w:val="02020500000000000000"/>
    <w:charset w:val="88"/>
    <w:family w:val="auto"/>
    <w:pitch w:val="default"/>
    <w:sig w:usb0="00000000" w:usb1="00000000" w:usb2="00000016" w:usb3="00000000" w:csb0="00100001" w:csb1="00000000"/>
  </w:font>
  <w:font w:name="Microsoft JhengHei">
    <w:panose1 w:val="020B0604030504040204"/>
    <w:charset w:val="88"/>
    <w:family w:val="auto"/>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E6314"/>
    <w:multiLevelType w:val="multilevel"/>
    <w:tmpl w:val="138E6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0391E"/>
    <w:rsid w:val="0001065B"/>
    <w:rsid w:val="000108B0"/>
    <w:rsid w:val="00012A85"/>
    <w:rsid w:val="00015CA6"/>
    <w:rsid w:val="0002091F"/>
    <w:rsid w:val="00020FD8"/>
    <w:rsid w:val="00025A26"/>
    <w:rsid w:val="000320C3"/>
    <w:rsid w:val="000320F3"/>
    <w:rsid w:val="00032B2F"/>
    <w:rsid w:val="00033B7F"/>
    <w:rsid w:val="0004000C"/>
    <w:rsid w:val="00046A5E"/>
    <w:rsid w:val="000515FC"/>
    <w:rsid w:val="00063454"/>
    <w:rsid w:val="00064543"/>
    <w:rsid w:val="0007055B"/>
    <w:rsid w:val="00072AC6"/>
    <w:rsid w:val="000755A0"/>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01BE"/>
    <w:rsid w:val="000C110F"/>
    <w:rsid w:val="000C2CD8"/>
    <w:rsid w:val="000C618A"/>
    <w:rsid w:val="000C757E"/>
    <w:rsid w:val="000D0765"/>
    <w:rsid w:val="000D0A53"/>
    <w:rsid w:val="000D5AF0"/>
    <w:rsid w:val="000D5BCB"/>
    <w:rsid w:val="000D5FBC"/>
    <w:rsid w:val="000E1E06"/>
    <w:rsid w:val="000E1F9C"/>
    <w:rsid w:val="000E2BA7"/>
    <w:rsid w:val="000E4431"/>
    <w:rsid w:val="000E71DB"/>
    <w:rsid w:val="000F2666"/>
    <w:rsid w:val="000F4F0A"/>
    <w:rsid w:val="000F5D01"/>
    <w:rsid w:val="000F61A5"/>
    <w:rsid w:val="000F6A8E"/>
    <w:rsid w:val="00104947"/>
    <w:rsid w:val="0010653D"/>
    <w:rsid w:val="00106A66"/>
    <w:rsid w:val="00112CCF"/>
    <w:rsid w:val="001163A7"/>
    <w:rsid w:val="001165E2"/>
    <w:rsid w:val="00117E8F"/>
    <w:rsid w:val="0012245C"/>
    <w:rsid w:val="00122520"/>
    <w:rsid w:val="00123998"/>
    <w:rsid w:val="001269CE"/>
    <w:rsid w:val="0013186A"/>
    <w:rsid w:val="00131991"/>
    <w:rsid w:val="00131D24"/>
    <w:rsid w:val="00133B28"/>
    <w:rsid w:val="00134514"/>
    <w:rsid w:val="00135616"/>
    <w:rsid w:val="00140096"/>
    <w:rsid w:val="001408BD"/>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4974"/>
    <w:rsid w:val="00196AAE"/>
    <w:rsid w:val="001A189D"/>
    <w:rsid w:val="001A33E6"/>
    <w:rsid w:val="001A373B"/>
    <w:rsid w:val="001A5EAF"/>
    <w:rsid w:val="001A696F"/>
    <w:rsid w:val="001B09E6"/>
    <w:rsid w:val="001B428A"/>
    <w:rsid w:val="001B65E9"/>
    <w:rsid w:val="001B7F81"/>
    <w:rsid w:val="001C2F4D"/>
    <w:rsid w:val="001C4CFF"/>
    <w:rsid w:val="001C6635"/>
    <w:rsid w:val="001D1574"/>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0D1D"/>
    <w:rsid w:val="00222750"/>
    <w:rsid w:val="00231A6A"/>
    <w:rsid w:val="00232100"/>
    <w:rsid w:val="00236CED"/>
    <w:rsid w:val="0023766A"/>
    <w:rsid w:val="002441BB"/>
    <w:rsid w:val="0024644D"/>
    <w:rsid w:val="00252134"/>
    <w:rsid w:val="002601A7"/>
    <w:rsid w:val="002614A7"/>
    <w:rsid w:val="00262074"/>
    <w:rsid w:val="002630BE"/>
    <w:rsid w:val="002638CD"/>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52D0"/>
    <w:rsid w:val="002B6C19"/>
    <w:rsid w:val="002B71C6"/>
    <w:rsid w:val="002C07AF"/>
    <w:rsid w:val="002C2207"/>
    <w:rsid w:val="002C384B"/>
    <w:rsid w:val="002C4124"/>
    <w:rsid w:val="002C7E1C"/>
    <w:rsid w:val="002D0D0A"/>
    <w:rsid w:val="002D1717"/>
    <w:rsid w:val="002E2E13"/>
    <w:rsid w:val="002E3CA9"/>
    <w:rsid w:val="002E434A"/>
    <w:rsid w:val="002F17BB"/>
    <w:rsid w:val="002F6C84"/>
    <w:rsid w:val="00301034"/>
    <w:rsid w:val="00301E2A"/>
    <w:rsid w:val="0030338D"/>
    <w:rsid w:val="0030391E"/>
    <w:rsid w:val="00304548"/>
    <w:rsid w:val="00317B19"/>
    <w:rsid w:val="00323BB7"/>
    <w:rsid w:val="003260D7"/>
    <w:rsid w:val="00326744"/>
    <w:rsid w:val="0032793E"/>
    <w:rsid w:val="00350544"/>
    <w:rsid w:val="003605EA"/>
    <w:rsid w:val="00363B42"/>
    <w:rsid w:val="00363CB1"/>
    <w:rsid w:val="00366ABA"/>
    <w:rsid w:val="003706E5"/>
    <w:rsid w:val="00373228"/>
    <w:rsid w:val="00380346"/>
    <w:rsid w:val="003808C2"/>
    <w:rsid w:val="00381A9D"/>
    <w:rsid w:val="003823B7"/>
    <w:rsid w:val="00384BC8"/>
    <w:rsid w:val="00384FC1"/>
    <w:rsid w:val="00395479"/>
    <w:rsid w:val="00396444"/>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04AD"/>
    <w:rsid w:val="004565CB"/>
    <w:rsid w:val="004625FD"/>
    <w:rsid w:val="00465CDD"/>
    <w:rsid w:val="004668C3"/>
    <w:rsid w:val="004678C5"/>
    <w:rsid w:val="00470EA2"/>
    <w:rsid w:val="0047145B"/>
    <w:rsid w:val="00472EF8"/>
    <w:rsid w:val="00473EDF"/>
    <w:rsid w:val="00476598"/>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C18"/>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3345"/>
    <w:rsid w:val="00536827"/>
    <w:rsid w:val="00541D32"/>
    <w:rsid w:val="005426B4"/>
    <w:rsid w:val="0054468A"/>
    <w:rsid w:val="005446ED"/>
    <w:rsid w:val="0054559C"/>
    <w:rsid w:val="005467ED"/>
    <w:rsid w:val="00547DD2"/>
    <w:rsid w:val="00553FB6"/>
    <w:rsid w:val="005541AC"/>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21F"/>
    <w:rsid w:val="005E5A30"/>
    <w:rsid w:val="005E6C8B"/>
    <w:rsid w:val="005F0576"/>
    <w:rsid w:val="005F26FC"/>
    <w:rsid w:val="005F6235"/>
    <w:rsid w:val="0061395F"/>
    <w:rsid w:val="00614CC6"/>
    <w:rsid w:val="006221C6"/>
    <w:rsid w:val="00622C8D"/>
    <w:rsid w:val="00624830"/>
    <w:rsid w:val="00630DB4"/>
    <w:rsid w:val="00634507"/>
    <w:rsid w:val="00635E5A"/>
    <w:rsid w:val="0064157E"/>
    <w:rsid w:val="006432A1"/>
    <w:rsid w:val="00652685"/>
    <w:rsid w:val="00655224"/>
    <w:rsid w:val="006611A4"/>
    <w:rsid w:val="00667B58"/>
    <w:rsid w:val="00670D3B"/>
    <w:rsid w:val="006754D4"/>
    <w:rsid w:val="00675D26"/>
    <w:rsid w:val="00677C91"/>
    <w:rsid w:val="00687885"/>
    <w:rsid w:val="0069378B"/>
    <w:rsid w:val="0069640F"/>
    <w:rsid w:val="006A0B00"/>
    <w:rsid w:val="006A169F"/>
    <w:rsid w:val="006A26AE"/>
    <w:rsid w:val="006A5AA2"/>
    <w:rsid w:val="006A6AEC"/>
    <w:rsid w:val="006B0404"/>
    <w:rsid w:val="006C072B"/>
    <w:rsid w:val="006C1090"/>
    <w:rsid w:val="006C3308"/>
    <w:rsid w:val="006C6F73"/>
    <w:rsid w:val="006D037C"/>
    <w:rsid w:val="006D3C62"/>
    <w:rsid w:val="006D4A53"/>
    <w:rsid w:val="006D689A"/>
    <w:rsid w:val="006E270F"/>
    <w:rsid w:val="006E3B9C"/>
    <w:rsid w:val="006E5CAA"/>
    <w:rsid w:val="006F0419"/>
    <w:rsid w:val="006F250D"/>
    <w:rsid w:val="006F4046"/>
    <w:rsid w:val="006F4F33"/>
    <w:rsid w:val="006F7E61"/>
    <w:rsid w:val="00705BA2"/>
    <w:rsid w:val="00706696"/>
    <w:rsid w:val="00706B5E"/>
    <w:rsid w:val="00707738"/>
    <w:rsid w:val="00712C33"/>
    <w:rsid w:val="00714C92"/>
    <w:rsid w:val="00725215"/>
    <w:rsid w:val="007316C5"/>
    <w:rsid w:val="00732F5E"/>
    <w:rsid w:val="0074288A"/>
    <w:rsid w:val="00743163"/>
    <w:rsid w:val="007466DD"/>
    <w:rsid w:val="007545FD"/>
    <w:rsid w:val="00763067"/>
    <w:rsid w:val="0076462B"/>
    <w:rsid w:val="0076559C"/>
    <w:rsid w:val="0076590F"/>
    <w:rsid w:val="007674A0"/>
    <w:rsid w:val="00770094"/>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566A"/>
    <w:rsid w:val="007A7301"/>
    <w:rsid w:val="007B01EA"/>
    <w:rsid w:val="007B1087"/>
    <w:rsid w:val="007B7C3B"/>
    <w:rsid w:val="007C12AF"/>
    <w:rsid w:val="007C4307"/>
    <w:rsid w:val="007C50FA"/>
    <w:rsid w:val="007C5405"/>
    <w:rsid w:val="007C5EC0"/>
    <w:rsid w:val="007C7133"/>
    <w:rsid w:val="007C77D0"/>
    <w:rsid w:val="007C7E21"/>
    <w:rsid w:val="007D2C13"/>
    <w:rsid w:val="007D38D8"/>
    <w:rsid w:val="007D45E6"/>
    <w:rsid w:val="007D4DEA"/>
    <w:rsid w:val="007D4EBA"/>
    <w:rsid w:val="007D66CB"/>
    <w:rsid w:val="007E3447"/>
    <w:rsid w:val="007E454B"/>
    <w:rsid w:val="007E7780"/>
    <w:rsid w:val="007F3181"/>
    <w:rsid w:val="00802639"/>
    <w:rsid w:val="0080575E"/>
    <w:rsid w:val="008158E3"/>
    <w:rsid w:val="0082596E"/>
    <w:rsid w:val="00830DC6"/>
    <w:rsid w:val="00840017"/>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70A"/>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0779"/>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54BD0"/>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A41DB"/>
    <w:rsid w:val="009B7AD2"/>
    <w:rsid w:val="009C2D72"/>
    <w:rsid w:val="009C3492"/>
    <w:rsid w:val="009C3DB7"/>
    <w:rsid w:val="009C4FE2"/>
    <w:rsid w:val="009C5215"/>
    <w:rsid w:val="009D2A4B"/>
    <w:rsid w:val="009D32D9"/>
    <w:rsid w:val="009D5C97"/>
    <w:rsid w:val="009E05D9"/>
    <w:rsid w:val="009E330E"/>
    <w:rsid w:val="009E3337"/>
    <w:rsid w:val="009E5A2D"/>
    <w:rsid w:val="009E5C8E"/>
    <w:rsid w:val="00A024E5"/>
    <w:rsid w:val="00A06025"/>
    <w:rsid w:val="00A110A0"/>
    <w:rsid w:val="00A112B4"/>
    <w:rsid w:val="00A163C8"/>
    <w:rsid w:val="00A2473E"/>
    <w:rsid w:val="00A2560D"/>
    <w:rsid w:val="00A25800"/>
    <w:rsid w:val="00A30246"/>
    <w:rsid w:val="00A31F6B"/>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29AA"/>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01D6"/>
    <w:rsid w:val="00AF1F59"/>
    <w:rsid w:val="00AF541D"/>
    <w:rsid w:val="00AF7B1C"/>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36BC"/>
    <w:rsid w:val="00B7443D"/>
    <w:rsid w:val="00B7713F"/>
    <w:rsid w:val="00B82BF9"/>
    <w:rsid w:val="00B84746"/>
    <w:rsid w:val="00B91048"/>
    <w:rsid w:val="00B948EC"/>
    <w:rsid w:val="00B962D5"/>
    <w:rsid w:val="00BA77AE"/>
    <w:rsid w:val="00BA7DC3"/>
    <w:rsid w:val="00BB080B"/>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17097"/>
    <w:rsid w:val="00C214D4"/>
    <w:rsid w:val="00C22D5E"/>
    <w:rsid w:val="00C26934"/>
    <w:rsid w:val="00C32A08"/>
    <w:rsid w:val="00C376C0"/>
    <w:rsid w:val="00C41C9A"/>
    <w:rsid w:val="00C55E09"/>
    <w:rsid w:val="00C56E85"/>
    <w:rsid w:val="00C62332"/>
    <w:rsid w:val="00C636F5"/>
    <w:rsid w:val="00C71515"/>
    <w:rsid w:val="00C72AA1"/>
    <w:rsid w:val="00C76A28"/>
    <w:rsid w:val="00C81C24"/>
    <w:rsid w:val="00C8505F"/>
    <w:rsid w:val="00CA27A9"/>
    <w:rsid w:val="00CA3664"/>
    <w:rsid w:val="00CA6146"/>
    <w:rsid w:val="00CB122E"/>
    <w:rsid w:val="00CB2C9E"/>
    <w:rsid w:val="00CB3953"/>
    <w:rsid w:val="00CB57FD"/>
    <w:rsid w:val="00CC085C"/>
    <w:rsid w:val="00CC39CF"/>
    <w:rsid w:val="00CC6B0A"/>
    <w:rsid w:val="00CD0112"/>
    <w:rsid w:val="00CD3BE8"/>
    <w:rsid w:val="00CE5E01"/>
    <w:rsid w:val="00CE772D"/>
    <w:rsid w:val="00CF0A21"/>
    <w:rsid w:val="00CF0C39"/>
    <w:rsid w:val="00CF3F6D"/>
    <w:rsid w:val="00CF4206"/>
    <w:rsid w:val="00CF4AFC"/>
    <w:rsid w:val="00CF5E91"/>
    <w:rsid w:val="00CF79D0"/>
    <w:rsid w:val="00CF7A99"/>
    <w:rsid w:val="00CF7D44"/>
    <w:rsid w:val="00D032A7"/>
    <w:rsid w:val="00D0530B"/>
    <w:rsid w:val="00D056BC"/>
    <w:rsid w:val="00D0683E"/>
    <w:rsid w:val="00D1281B"/>
    <w:rsid w:val="00D146E6"/>
    <w:rsid w:val="00D162AF"/>
    <w:rsid w:val="00D31590"/>
    <w:rsid w:val="00D31592"/>
    <w:rsid w:val="00D31BE7"/>
    <w:rsid w:val="00D32F0B"/>
    <w:rsid w:val="00D34FEE"/>
    <w:rsid w:val="00D431FE"/>
    <w:rsid w:val="00D442DB"/>
    <w:rsid w:val="00D4699A"/>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C492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17B10"/>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46A5D"/>
    <w:rsid w:val="00E62EC1"/>
    <w:rsid w:val="00E74478"/>
    <w:rsid w:val="00E761EC"/>
    <w:rsid w:val="00E841C0"/>
    <w:rsid w:val="00E86A5E"/>
    <w:rsid w:val="00E87248"/>
    <w:rsid w:val="00E872BD"/>
    <w:rsid w:val="00E93069"/>
    <w:rsid w:val="00EA3AE8"/>
    <w:rsid w:val="00EA7D2D"/>
    <w:rsid w:val="00EB163F"/>
    <w:rsid w:val="00EB2868"/>
    <w:rsid w:val="00EB3A52"/>
    <w:rsid w:val="00EB5D8C"/>
    <w:rsid w:val="00EB60AA"/>
    <w:rsid w:val="00EB6C7E"/>
    <w:rsid w:val="00EB78AC"/>
    <w:rsid w:val="00EB7B3F"/>
    <w:rsid w:val="00EB7B5B"/>
    <w:rsid w:val="00EC01C0"/>
    <w:rsid w:val="00EC5F36"/>
    <w:rsid w:val="00EC6D48"/>
    <w:rsid w:val="00ED091F"/>
    <w:rsid w:val="00ED188E"/>
    <w:rsid w:val="00ED1B9D"/>
    <w:rsid w:val="00ED3FDD"/>
    <w:rsid w:val="00ED5D0B"/>
    <w:rsid w:val="00EE12DD"/>
    <w:rsid w:val="00EE314A"/>
    <w:rsid w:val="00EE7784"/>
    <w:rsid w:val="00EE7CBF"/>
    <w:rsid w:val="00EF2994"/>
    <w:rsid w:val="00EF4561"/>
    <w:rsid w:val="00EF6A42"/>
    <w:rsid w:val="00F0174B"/>
    <w:rsid w:val="00F03FFA"/>
    <w:rsid w:val="00F06A58"/>
    <w:rsid w:val="00F0772B"/>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1431"/>
    <w:rsid w:val="00F84D86"/>
    <w:rsid w:val="00F8642A"/>
    <w:rsid w:val="00F86940"/>
    <w:rsid w:val="00F9644F"/>
    <w:rsid w:val="00F97504"/>
    <w:rsid w:val="00FA16EA"/>
    <w:rsid w:val="00FA1C02"/>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0D44B0"/>
    <w:rsid w:val="02204CB4"/>
    <w:rsid w:val="032125A7"/>
    <w:rsid w:val="048914BF"/>
    <w:rsid w:val="04DF2750"/>
    <w:rsid w:val="056F64E0"/>
    <w:rsid w:val="05CC230F"/>
    <w:rsid w:val="06153C43"/>
    <w:rsid w:val="06684D61"/>
    <w:rsid w:val="069140D4"/>
    <w:rsid w:val="06C30A29"/>
    <w:rsid w:val="07C77711"/>
    <w:rsid w:val="08392621"/>
    <w:rsid w:val="08CE3297"/>
    <w:rsid w:val="098A5989"/>
    <w:rsid w:val="09AE0E41"/>
    <w:rsid w:val="09E7236E"/>
    <w:rsid w:val="0A174C69"/>
    <w:rsid w:val="0A2D4CFB"/>
    <w:rsid w:val="0AE77571"/>
    <w:rsid w:val="0AEC7515"/>
    <w:rsid w:val="0C2E1D25"/>
    <w:rsid w:val="0C6E3C2A"/>
    <w:rsid w:val="0C7A24C4"/>
    <w:rsid w:val="0CB4509D"/>
    <w:rsid w:val="0CD4131B"/>
    <w:rsid w:val="0DD03008"/>
    <w:rsid w:val="0E525E0B"/>
    <w:rsid w:val="0EB74676"/>
    <w:rsid w:val="0EC17554"/>
    <w:rsid w:val="0EFA0CA0"/>
    <w:rsid w:val="10F90765"/>
    <w:rsid w:val="110B3DDD"/>
    <w:rsid w:val="11455469"/>
    <w:rsid w:val="117B0ECA"/>
    <w:rsid w:val="11BC799E"/>
    <w:rsid w:val="13060F15"/>
    <w:rsid w:val="14292BDD"/>
    <w:rsid w:val="146B5B8E"/>
    <w:rsid w:val="14B97FF9"/>
    <w:rsid w:val="14E7521D"/>
    <w:rsid w:val="151E43EF"/>
    <w:rsid w:val="152B77E2"/>
    <w:rsid w:val="157F545B"/>
    <w:rsid w:val="164E2487"/>
    <w:rsid w:val="167F5394"/>
    <w:rsid w:val="174F7064"/>
    <w:rsid w:val="1804741F"/>
    <w:rsid w:val="18251AFB"/>
    <w:rsid w:val="18B53F05"/>
    <w:rsid w:val="196D362B"/>
    <w:rsid w:val="1972170B"/>
    <w:rsid w:val="1A89693C"/>
    <w:rsid w:val="1AD02E67"/>
    <w:rsid w:val="1B726758"/>
    <w:rsid w:val="1BAA63C8"/>
    <w:rsid w:val="1C210AAB"/>
    <w:rsid w:val="1C506FE8"/>
    <w:rsid w:val="1CCD7627"/>
    <w:rsid w:val="1D41530D"/>
    <w:rsid w:val="1D9D4911"/>
    <w:rsid w:val="1E745D85"/>
    <w:rsid w:val="1E9E5A85"/>
    <w:rsid w:val="1EA4148C"/>
    <w:rsid w:val="1F0F2F94"/>
    <w:rsid w:val="207573CE"/>
    <w:rsid w:val="22776FAD"/>
    <w:rsid w:val="229B6695"/>
    <w:rsid w:val="22BA37B1"/>
    <w:rsid w:val="23677231"/>
    <w:rsid w:val="24581C69"/>
    <w:rsid w:val="24F67E3C"/>
    <w:rsid w:val="253E67FE"/>
    <w:rsid w:val="267E53D1"/>
    <w:rsid w:val="26B67C62"/>
    <w:rsid w:val="26FF77C3"/>
    <w:rsid w:val="27AF484E"/>
    <w:rsid w:val="27EC07F5"/>
    <w:rsid w:val="280529B9"/>
    <w:rsid w:val="280B0A9F"/>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7B1873"/>
    <w:rsid w:val="3087217F"/>
    <w:rsid w:val="30876184"/>
    <w:rsid w:val="30CA5D19"/>
    <w:rsid w:val="30FE5730"/>
    <w:rsid w:val="33A516C3"/>
    <w:rsid w:val="37B846D4"/>
    <w:rsid w:val="3804044D"/>
    <w:rsid w:val="38126F8A"/>
    <w:rsid w:val="38592421"/>
    <w:rsid w:val="39335798"/>
    <w:rsid w:val="3A552DB6"/>
    <w:rsid w:val="3B560770"/>
    <w:rsid w:val="3B8C4E29"/>
    <w:rsid w:val="3C7C2175"/>
    <w:rsid w:val="3CB92516"/>
    <w:rsid w:val="3E63208E"/>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4FE098A"/>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6F8239AA"/>
    <w:rsid w:val="715352FB"/>
    <w:rsid w:val="7188491F"/>
    <w:rsid w:val="71934819"/>
    <w:rsid w:val="71A56E00"/>
    <w:rsid w:val="721C1B5D"/>
    <w:rsid w:val="722439D8"/>
    <w:rsid w:val="72BE4227"/>
    <w:rsid w:val="72E74BF1"/>
    <w:rsid w:val="732B1E0E"/>
    <w:rsid w:val="734C546C"/>
    <w:rsid w:val="73D0327C"/>
    <w:rsid w:val="73EB02F8"/>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E824ACC"/>
    <w:rsid w:val="7F600889"/>
    <w:rsid w:val="7FAF16DF"/>
    <w:rsid w:val="7FC21A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qFormat="1"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8"/>
    <w:qFormat/>
    <w:locked/>
    <w:uiPriority w:val="99"/>
    <w:pPr>
      <w:widowControl/>
      <w:jc w:val="center"/>
      <w:outlineLvl w:val="0"/>
    </w:pPr>
    <w:rPr>
      <w:rFonts w:ascii="楷体_GB2312" w:hAnsi="宋体" w:eastAsia="楷体_GB2312" w:cs="楷体_GB2312"/>
      <w:b/>
      <w:bCs/>
      <w:kern w:val="44"/>
      <w:sz w:val="28"/>
      <w:szCs w:val="28"/>
    </w:rPr>
  </w:style>
  <w:style w:type="paragraph" w:styleId="4">
    <w:name w:val="heading 2"/>
    <w:basedOn w:val="1"/>
    <w:next w:val="1"/>
    <w:qFormat/>
    <w:locked/>
    <w:uiPriority w:val="0"/>
    <w:pPr>
      <w:keepNext/>
      <w:spacing w:before="240" w:after="60"/>
      <w:outlineLvl w:val="1"/>
    </w:pPr>
    <w:rPr>
      <w:rFonts w:ascii="Arial" w:hAnsi="Arial"/>
      <w:b/>
      <w:bCs/>
      <w:i/>
      <w:iCs/>
      <w:sz w:val="28"/>
      <w:szCs w:val="28"/>
    </w:rPr>
  </w:style>
  <w:style w:type="paragraph" w:styleId="5">
    <w:name w:val="heading 3"/>
    <w:basedOn w:val="1"/>
    <w:next w:val="1"/>
    <w:link w:val="19"/>
    <w:qFormat/>
    <w:locked/>
    <w:uiPriority w:val="99"/>
    <w:pPr>
      <w:keepNext/>
      <w:keepLines/>
      <w:spacing w:before="260" w:after="260" w:line="410"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99"/>
    <w:pPr>
      <w:spacing w:after="120"/>
    </w:pPr>
    <w:rPr>
      <w:sz w:val="24"/>
      <w:szCs w:val="24"/>
    </w:rPr>
  </w:style>
  <w:style w:type="paragraph" w:styleId="6">
    <w:name w:val="Normal Indent"/>
    <w:basedOn w:val="1"/>
    <w:link w:val="37"/>
    <w:qFormat/>
    <w:uiPriority w:val="0"/>
    <w:pPr>
      <w:adjustRightInd w:val="0"/>
      <w:ind w:firstLine="420"/>
      <w:jc w:val="left"/>
    </w:pPr>
    <w:rPr>
      <w:rFonts w:eastAsia="楷体_GB2312"/>
      <w:sz w:val="24"/>
      <w:szCs w:val="24"/>
    </w:rPr>
  </w:style>
  <w:style w:type="paragraph" w:styleId="7">
    <w:name w:val="Document Map"/>
    <w:basedOn w:val="1"/>
    <w:link w:val="39"/>
    <w:semiHidden/>
    <w:unhideWhenUsed/>
    <w:qFormat/>
    <w:locked/>
    <w:uiPriority w:val="99"/>
    <w:rPr>
      <w:rFonts w:ascii="宋体"/>
      <w:sz w:val="18"/>
      <w:szCs w:val="18"/>
    </w:rPr>
  </w:style>
  <w:style w:type="paragraph" w:styleId="8">
    <w:name w:val="Plain Text"/>
    <w:basedOn w:val="1"/>
    <w:link w:val="21"/>
    <w:qFormat/>
    <w:uiPriority w:val="99"/>
    <w:rPr>
      <w:rFonts w:ascii="宋体" w:hAnsi="Courier New" w:cs="宋体"/>
      <w:kern w:val="0"/>
    </w:rPr>
  </w:style>
  <w:style w:type="paragraph" w:styleId="9">
    <w:name w:val="Balloon Text"/>
    <w:basedOn w:val="1"/>
    <w:link w:val="22"/>
    <w:semiHidden/>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5"/>
    <w:qFormat/>
    <w:uiPriority w:val="99"/>
    <w:pPr>
      <w:ind w:left="3599" w:hanging="3599" w:hangingChars="1714"/>
    </w:pPr>
    <w:rPr>
      <w:sz w:val="24"/>
      <w:szCs w:val="24"/>
    </w:rPr>
  </w:style>
  <w:style w:type="paragraph" w:styleId="13">
    <w:name w:val="HTML Preformatted"/>
    <w:basedOn w:val="1"/>
    <w:link w:val="36"/>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Strong"/>
    <w:qFormat/>
    <w:locked/>
    <w:uiPriority w:val="0"/>
    <w:rPr>
      <w:rFonts w:cs="Times New Roman"/>
      <w:b/>
      <w:bCs/>
    </w:rPr>
  </w:style>
  <w:style w:type="character" w:customStyle="1" w:styleId="18">
    <w:name w:val="标题 1 Char"/>
    <w:link w:val="3"/>
    <w:qFormat/>
    <w:locked/>
    <w:uiPriority w:val="99"/>
    <w:rPr>
      <w:b/>
      <w:bCs/>
      <w:kern w:val="44"/>
      <w:sz w:val="44"/>
      <w:szCs w:val="44"/>
    </w:rPr>
  </w:style>
  <w:style w:type="character" w:customStyle="1" w:styleId="19">
    <w:name w:val="标题 3 Char"/>
    <w:link w:val="5"/>
    <w:semiHidden/>
    <w:qFormat/>
    <w:locked/>
    <w:uiPriority w:val="99"/>
    <w:rPr>
      <w:b/>
      <w:bCs/>
      <w:sz w:val="32"/>
      <w:szCs w:val="32"/>
    </w:rPr>
  </w:style>
  <w:style w:type="character" w:customStyle="1" w:styleId="20">
    <w:name w:val="正文文本 Char"/>
    <w:link w:val="2"/>
    <w:qFormat/>
    <w:locked/>
    <w:uiPriority w:val="99"/>
    <w:rPr>
      <w:kern w:val="2"/>
      <w:sz w:val="24"/>
      <w:szCs w:val="24"/>
    </w:rPr>
  </w:style>
  <w:style w:type="character" w:customStyle="1" w:styleId="21">
    <w:name w:val="纯文本 Char1"/>
    <w:link w:val="8"/>
    <w:qFormat/>
    <w:locked/>
    <w:uiPriority w:val="99"/>
    <w:rPr>
      <w:rFonts w:ascii="宋体" w:hAnsi="Courier New" w:eastAsia="宋体" w:cs="宋体"/>
      <w:sz w:val="21"/>
      <w:szCs w:val="21"/>
    </w:rPr>
  </w:style>
  <w:style w:type="character" w:customStyle="1" w:styleId="22">
    <w:name w:val="批注框文本 Char"/>
    <w:link w:val="9"/>
    <w:semiHidden/>
    <w:qFormat/>
    <w:locked/>
    <w:uiPriority w:val="99"/>
    <w:rPr>
      <w:kern w:val="2"/>
      <w:sz w:val="18"/>
      <w:szCs w:val="18"/>
    </w:rPr>
  </w:style>
  <w:style w:type="character" w:customStyle="1" w:styleId="23">
    <w:name w:val="页脚 Char"/>
    <w:link w:val="10"/>
    <w:qFormat/>
    <w:locked/>
    <w:uiPriority w:val="99"/>
    <w:rPr>
      <w:kern w:val="2"/>
      <w:sz w:val="18"/>
      <w:szCs w:val="18"/>
    </w:rPr>
  </w:style>
  <w:style w:type="character" w:customStyle="1" w:styleId="24">
    <w:name w:val="页眉 Char"/>
    <w:link w:val="11"/>
    <w:qFormat/>
    <w:locked/>
    <w:uiPriority w:val="99"/>
    <w:rPr>
      <w:kern w:val="2"/>
      <w:sz w:val="18"/>
      <w:szCs w:val="18"/>
    </w:rPr>
  </w:style>
  <w:style w:type="character" w:customStyle="1" w:styleId="25">
    <w:name w:val="正文文本缩进 3 Char"/>
    <w:link w:val="12"/>
    <w:qFormat/>
    <w:locked/>
    <w:uiPriority w:val="99"/>
    <w:rPr>
      <w:kern w:val="2"/>
      <w:sz w:val="24"/>
      <w:szCs w:val="24"/>
    </w:rPr>
  </w:style>
  <w:style w:type="paragraph" w:customStyle="1" w:styleId="26">
    <w:name w:val="p0"/>
    <w:basedOn w:val="1"/>
    <w:qFormat/>
    <w:uiPriority w:val="99"/>
    <w:pPr>
      <w:widowControl/>
    </w:pPr>
    <w:rPr>
      <w:kern w:val="0"/>
      <w:sz w:val="24"/>
      <w:szCs w:val="24"/>
    </w:rPr>
  </w:style>
  <w:style w:type="paragraph" w:customStyle="1" w:styleId="27">
    <w:name w:val="_Style 10"/>
    <w:basedOn w:val="1"/>
    <w:qFormat/>
    <w:uiPriority w:val="99"/>
    <w:pPr>
      <w:ind w:firstLine="420" w:firstLineChars="200"/>
    </w:pPr>
  </w:style>
  <w:style w:type="paragraph" w:customStyle="1" w:styleId="28">
    <w:name w:val="列出段落1"/>
    <w:basedOn w:val="1"/>
    <w:qFormat/>
    <w:uiPriority w:val="99"/>
    <w:pPr>
      <w:ind w:firstLine="420" w:firstLineChars="200"/>
    </w:pPr>
    <w:rPr>
      <w:rFonts w:ascii="Calibri" w:hAnsi="Calibri" w:cs="Calibri"/>
    </w:rPr>
  </w:style>
  <w:style w:type="paragraph" w:customStyle="1" w:styleId="2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31">
    <w:name w:val="纯文本 Char"/>
    <w:semiHidden/>
    <w:qFormat/>
    <w:uiPriority w:val="99"/>
    <w:rPr>
      <w:rFonts w:ascii="宋体" w:hAnsi="Courier New" w:cs="宋体"/>
      <w:sz w:val="21"/>
      <w:szCs w:val="21"/>
    </w:rPr>
  </w:style>
  <w:style w:type="character" w:customStyle="1" w:styleId="32">
    <w:name w:val="正文文本缩进 3 Char1"/>
    <w:qFormat/>
    <w:uiPriority w:val="99"/>
    <w:rPr>
      <w:kern w:val="2"/>
      <w:sz w:val="16"/>
      <w:szCs w:val="16"/>
    </w:rPr>
  </w:style>
  <w:style w:type="character" w:customStyle="1" w:styleId="33">
    <w:name w:val="style21"/>
    <w:qFormat/>
    <w:uiPriority w:val="99"/>
    <w:rPr>
      <w:color w:val="auto"/>
    </w:rPr>
  </w:style>
  <w:style w:type="paragraph" w:customStyle="1" w:styleId="34">
    <w:name w:val="List Paragraph1"/>
    <w:basedOn w:val="1"/>
    <w:qFormat/>
    <w:uiPriority w:val="99"/>
    <w:pPr>
      <w:ind w:firstLine="420" w:firstLineChars="200"/>
    </w:pPr>
    <w:rPr>
      <w:rFonts w:ascii="Calibri" w:hAnsi="Calibri" w:cs="Calibri"/>
    </w:rPr>
  </w:style>
  <w:style w:type="paragraph" w:styleId="35">
    <w:name w:val="List Paragraph"/>
    <w:basedOn w:val="1"/>
    <w:qFormat/>
    <w:uiPriority w:val="34"/>
    <w:pPr>
      <w:ind w:firstLine="420" w:firstLineChars="200"/>
    </w:pPr>
    <w:rPr>
      <w:rFonts w:ascii="Calibri" w:hAnsi="Calibri" w:cs="Calibri"/>
    </w:rPr>
  </w:style>
  <w:style w:type="character" w:customStyle="1" w:styleId="36">
    <w:name w:val="HTML 预设格式 Char"/>
    <w:link w:val="13"/>
    <w:qFormat/>
    <w:uiPriority w:val="99"/>
    <w:rPr>
      <w:rFonts w:ascii="黑体" w:hAnsi="Courier New" w:eastAsia="黑体" w:cs="黑体"/>
    </w:rPr>
  </w:style>
  <w:style w:type="character" w:customStyle="1" w:styleId="37">
    <w:name w:val="正文缩进 Char1"/>
    <w:link w:val="6"/>
    <w:qFormat/>
    <w:uiPriority w:val="0"/>
    <w:rPr>
      <w:rFonts w:eastAsia="楷体_GB2312"/>
      <w:kern w:val="2"/>
      <w:sz w:val="24"/>
      <w:szCs w:val="24"/>
    </w:rPr>
  </w:style>
  <w:style w:type="paragraph" w:customStyle="1" w:styleId="38">
    <w:name w:val="Char Char1"/>
    <w:basedOn w:val="6"/>
    <w:next w:val="10"/>
    <w:qFormat/>
    <w:uiPriority w:val="0"/>
    <w:pPr>
      <w:shd w:val="clear" w:color="auto" w:fill="000080"/>
      <w:adjustRightInd/>
      <w:ind w:firstLine="0"/>
      <w:jc w:val="both"/>
    </w:pPr>
    <w:rPr>
      <w:rFonts w:ascii="Tahoma" w:hAnsi="Tahoma" w:eastAsia="宋体"/>
    </w:rPr>
  </w:style>
  <w:style w:type="character" w:customStyle="1" w:styleId="39">
    <w:name w:val="文档结构图 Char"/>
    <w:basedOn w:val="16"/>
    <w:link w:val="7"/>
    <w:semiHidden/>
    <w:qFormat/>
    <w:uiPriority w:val="99"/>
    <w:rPr>
      <w:rFonts w:ascii="宋体"/>
      <w:kern w:val="2"/>
      <w:sz w:val="18"/>
      <w:szCs w:val="18"/>
    </w:rPr>
  </w:style>
  <w:style w:type="character" w:customStyle="1" w:styleId="40">
    <w:name w:val="wyg1"/>
    <w:qFormat/>
    <w:uiPriority w:val="0"/>
    <w:rPr>
      <w:color w:val="000000"/>
      <w:sz w:val="20"/>
      <w:u w:val="none"/>
    </w:rPr>
  </w:style>
  <w:style w:type="paragraph" w:customStyle="1" w:styleId="41">
    <w:name w:val="Plain Text"/>
    <w:basedOn w:val="1"/>
    <w:qFormat/>
    <w:uiPriority w:val="0"/>
    <w:rPr>
      <w:rFonts w:ascii="宋体" w:hAnsi="Courier New" w:eastAsia="宋体" w:cs="Times New Roman"/>
      <w:kern w:val="28"/>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C61C9-0708-4F1F-9CE5-F54510A4B08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1718</Words>
  <Characters>9796</Characters>
  <Lines>81</Lines>
  <Paragraphs>22</Paragraphs>
  <TotalTime>3</TotalTime>
  <ScaleCrop>false</ScaleCrop>
  <LinksUpToDate>false</LinksUpToDate>
  <CharactersWithSpaces>11492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宁静以致远</cp:lastModifiedBy>
  <cp:lastPrinted>2020-08-31T01:53:00Z</cp:lastPrinted>
  <dcterms:modified xsi:type="dcterms:W3CDTF">2021-08-26T04:24:30Z</dcterms:modified>
  <dc:title>徐 州 医 科 大 学</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F5A98160D93C4848B138765165B2BDF7</vt:lpwstr>
  </property>
</Properties>
</file>