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6B13B">
      <w:pPr>
        <w:spacing w:before="200" w:after="200" w:line="480" w:lineRule="auto"/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  <w:lang w:val="en-US" w:eastAsia="zh-CN"/>
        </w:rPr>
        <w:t>徐医大附三院</w:t>
      </w:r>
      <w:r>
        <w:rPr>
          <w:rFonts w:ascii="黑体" w:hAnsi="黑体" w:eastAsia="黑体"/>
          <w:b/>
          <w:bCs/>
          <w:sz w:val="36"/>
          <w:szCs w:val="36"/>
        </w:rPr>
        <w:t>污水处理废水与无组织废气第三方检测</w:t>
      </w:r>
    </w:p>
    <w:p w14:paraId="5F532174">
      <w:pPr>
        <w:spacing w:before="200" w:after="200" w:line="480" w:lineRule="auto"/>
        <w:jc w:val="center"/>
        <w:rPr>
          <w:rFonts w:hint="eastAsia" w:eastAsia="黑体"/>
          <w:lang w:val="en-US" w:eastAsia="zh-CN"/>
        </w:rPr>
      </w:pPr>
      <w:r>
        <w:rPr>
          <w:rFonts w:ascii="黑体" w:hAnsi="黑体" w:eastAsia="黑体"/>
          <w:b/>
          <w:bCs/>
          <w:sz w:val="36"/>
          <w:szCs w:val="36"/>
        </w:rPr>
        <w:t>服务</w:t>
      </w:r>
      <w:r>
        <w:rPr>
          <w:rFonts w:hint="eastAsia" w:ascii="黑体" w:hAnsi="黑体" w:eastAsia="黑体"/>
          <w:b/>
          <w:bCs/>
          <w:sz w:val="36"/>
          <w:szCs w:val="36"/>
          <w:lang w:val="en-US" w:eastAsia="zh-CN"/>
        </w:rPr>
        <w:t>需求</w:t>
      </w:r>
    </w:p>
    <w:p w14:paraId="21B32C82">
      <w:pPr>
        <w:spacing w:before="200" w:after="120" w:line="400" w:lineRule="auto"/>
        <w:jc w:val="left"/>
      </w:pPr>
      <w:r>
        <w:rPr>
          <w:rFonts w:ascii="黑体" w:hAnsi="黑体" w:eastAsia="黑体"/>
          <w:b/>
          <w:bCs/>
          <w:sz w:val="32"/>
          <w:szCs w:val="32"/>
        </w:rPr>
        <w:t>一、项目概况</w:t>
      </w:r>
    </w:p>
    <w:p w14:paraId="3E7F945B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项目名称：污水处理废水、无组织废气与噪声第三方检测服务项目</w:t>
      </w:r>
    </w:p>
    <w:p w14:paraId="393551C1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服务内容：废水排放口检测、无组织废气检测、厂界环境噪声检测（含监测点布设、采样、分析及CMA报告出具）</w:t>
      </w:r>
    </w:p>
    <w:p w14:paraId="1669F3E8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服务期限：3年（具体以合同签订时间为准）</w:t>
      </w:r>
    </w:p>
    <w:p w14:paraId="3E38F584">
      <w:pPr>
        <w:spacing w:before="0" w:after="0" w:line="360" w:lineRule="auto"/>
        <w:ind w:firstLine="480"/>
        <w:jc w:val="both"/>
        <w:rPr>
          <w:rFonts w:hint="eastAsia"/>
          <w:sz w:val="24"/>
          <w:szCs w:val="24"/>
          <w:lang w:eastAsia="zh-CN"/>
        </w:rPr>
      </w:pPr>
      <w:r>
        <w:rPr>
          <w:rFonts w:ascii="仿宋" w:hAnsi="仿宋" w:eastAsia="仿宋"/>
          <w:sz w:val="24"/>
          <w:szCs w:val="24"/>
        </w:rPr>
        <w:t>预算金额：根据同类项目估算，控制价3.6万元</w:t>
      </w: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3年）</w:t>
      </w:r>
      <w:r>
        <w:rPr>
          <w:rFonts w:hint="eastAsia"/>
          <w:sz w:val="24"/>
          <w:szCs w:val="24"/>
          <w:lang w:eastAsia="zh-CN"/>
        </w:rPr>
        <w:t>。</w:t>
      </w:r>
    </w:p>
    <w:p w14:paraId="252AEA6E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监测标准：废水检测遵循《医疗机构水污染物排放标准》（GB 18466-2005）、《污水监测技术规范》（HJ 91.1-2019）；无组织废气检测参照《固定污染源排气中颗粒物测定与气态污染物采样方法》（GB/T 16157-1996）及《恶臭污染物排放标准》（GB 14554-93）；噪声检测参照《工业企业厂界环境噪声排放标准》（GB 12348-2008）。</w:t>
      </w:r>
    </w:p>
    <w:p w14:paraId="7119B40F">
      <w:pPr>
        <w:spacing w:before="200" w:after="120" w:line="400" w:lineRule="auto"/>
        <w:jc w:val="left"/>
      </w:pPr>
      <w:r>
        <w:rPr>
          <w:rFonts w:ascii="黑体" w:hAnsi="黑体" w:eastAsia="黑体"/>
          <w:b/>
          <w:bCs/>
          <w:sz w:val="32"/>
          <w:szCs w:val="32"/>
        </w:rPr>
        <w:t>二、监测内容与技术参数</w:t>
      </w:r>
    </w:p>
    <w:p w14:paraId="73F3F6A5">
      <w:pPr>
        <w:spacing w:before="120" w:after="60" w:line="360" w:lineRule="auto"/>
        <w:jc w:val="left"/>
      </w:pPr>
      <w:r>
        <w:rPr>
          <w:rFonts w:ascii="仿宋" w:hAnsi="仿宋" w:eastAsia="仿宋"/>
          <w:b/>
          <w:bCs/>
          <w:sz w:val="24"/>
          <w:szCs w:val="24"/>
        </w:rPr>
        <w:t>1、废水检测要求</w:t>
      </w:r>
    </w:p>
    <w:p w14:paraId="7A53F399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监测点位：废水总排放口</w:t>
      </w:r>
    </w:p>
    <w:p w14:paraId="54DD3A97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监测频次：4次/年，每季度1次</w:t>
      </w:r>
    </w:p>
    <w:p w14:paraId="436589E1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数据有效性：每次采样需采集3个平行样品，检测结果需符合《污水综合排放标准》（GB 8978-1996）中浓度限值要求。</w:t>
      </w:r>
    </w:p>
    <w:p w14:paraId="04B77193">
      <w:pPr>
        <w:spacing w:line="240" w:lineRule="auto"/>
      </w:pPr>
    </w:p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800"/>
        <w:gridCol w:w="2400"/>
        <w:gridCol w:w="3826"/>
      </w:tblGrid>
      <w:tr w14:paraId="69B94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5E8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5E6444">
            <w:pPr>
              <w:spacing w:line="360" w:lineRule="auto"/>
              <w:jc w:val="center"/>
            </w:pPr>
            <w:r>
              <w:rPr>
                <w:rFonts w:ascii="黑体" w:hAnsi="黑体" w:eastAsia="黑体"/>
                <w:b/>
                <w:bCs/>
                <w:sz w:val="24"/>
                <w:szCs w:val="24"/>
              </w:rPr>
              <w:t>监测因子</w:t>
            </w: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5E8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342E8C">
            <w:pPr>
              <w:spacing w:line="360" w:lineRule="auto"/>
              <w:jc w:val="center"/>
            </w:pPr>
            <w:r>
              <w:rPr>
                <w:rFonts w:ascii="黑体" w:hAnsi="黑体" w:eastAsia="黑体"/>
                <w:b/>
                <w:bCs/>
                <w:sz w:val="24"/>
                <w:szCs w:val="24"/>
              </w:rPr>
              <w:t>检测方法标准</w:t>
            </w:r>
          </w:p>
        </w:tc>
        <w:tc>
          <w:tcPr>
            <w:tcW w:w="3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5E8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A8337D">
            <w:pPr>
              <w:spacing w:line="360" w:lineRule="auto"/>
              <w:jc w:val="center"/>
            </w:pPr>
            <w:r>
              <w:rPr>
                <w:rFonts w:ascii="黑体" w:hAnsi="黑体" w:eastAsia="黑体"/>
                <w:b/>
                <w:bCs/>
                <w:sz w:val="24"/>
                <w:szCs w:val="24"/>
              </w:rPr>
              <w:t>备注</w:t>
            </w:r>
          </w:p>
        </w:tc>
      </w:tr>
      <w:tr w14:paraId="530D7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307156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化学需氧量（COD）</w:t>
            </w: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B5A2A0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HJ 828-2017</w:t>
            </w:r>
          </w:p>
        </w:tc>
        <w:tc>
          <w:tcPr>
            <w:tcW w:w="3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7C9C1E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高锰酸盐指数法可选</w:t>
            </w:r>
          </w:p>
        </w:tc>
      </w:tr>
      <w:tr w14:paraId="6B98E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23F822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氨氮（NH₃-N）</w:t>
            </w: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79A187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HJ 535-2009</w:t>
            </w:r>
          </w:p>
        </w:tc>
        <w:tc>
          <w:tcPr>
            <w:tcW w:w="3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DF06AB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纳氏试剂分光光度法</w:t>
            </w:r>
          </w:p>
        </w:tc>
      </w:tr>
      <w:tr w14:paraId="069CF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ACCDBE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pH值</w:t>
            </w: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1FF737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GB 6920-86</w:t>
            </w:r>
          </w:p>
        </w:tc>
        <w:tc>
          <w:tcPr>
            <w:tcW w:w="3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413825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现场监测</w:t>
            </w:r>
          </w:p>
        </w:tc>
      </w:tr>
      <w:tr w14:paraId="1384F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56A7C0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悬浮物（SS）</w:t>
            </w: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31242B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GB 11901-89</w:t>
            </w:r>
          </w:p>
        </w:tc>
        <w:tc>
          <w:tcPr>
            <w:tcW w:w="3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DC0119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重量法</w:t>
            </w:r>
          </w:p>
        </w:tc>
      </w:tr>
      <w:tr w14:paraId="207A1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7FFECA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五日生化需氧量（BOD₅）</w:t>
            </w: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637D56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HJ 505-2009</w:t>
            </w:r>
          </w:p>
        </w:tc>
        <w:tc>
          <w:tcPr>
            <w:tcW w:w="3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A632D3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稀释接种法</w:t>
            </w:r>
          </w:p>
        </w:tc>
      </w:tr>
      <w:tr w14:paraId="447FE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DD7F52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石油类</w:t>
            </w: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28E9FF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HJ 970-2018</w:t>
            </w:r>
          </w:p>
        </w:tc>
        <w:tc>
          <w:tcPr>
            <w:tcW w:w="3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24A228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红外分光光度法</w:t>
            </w:r>
          </w:p>
        </w:tc>
      </w:tr>
      <w:tr w14:paraId="4C553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7D7417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挥发酚</w:t>
            </w: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355892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HJ 503-2009</w:t>
            </w:r>
          </w:p>
        </w:tc>
        <w:tc>
          <w:tcPr>
            <w:tcW w:w="3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FE03DC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4-氨基安替比林分光光度法</w:t>
            </w:r>
          </w:p>
        </w:tc>
      </w:tr>
      <w:tr w14:paraId="710F0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363BAD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总氰化物</w:t>
            </w: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CFEE3B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HJ 484-2009</w:t>
            </w:r>
          </w:p>
        </w:tc>
        <w:tc>
          <w:tcPr>
            <w:tcW w:w="3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546C69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异烟酸-巴比妥酸分光光度法</w:t>
            </w:r>
          </w:p>
        </w:tc>
      </w:tr>
      <w:tr w14:paraId="45FA3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522111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阴离子表面活性剂</w:t>
            </w: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3455C1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HJ 826-2017</w:t>
            </w:r>
          </w:p>
        </w:tc>
        <w:tc>
          <w:tcPr>
            <w:tcW w:w="3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A4DAF2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亚甲蓝分光光度法</w:t>
            </w:r>
          </w:p>
        </w:tc>
      </w:tr>
      <w:tr w14:paraId="048BA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D6B186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动植物油</w:t>
            </w: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A499D2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HJ 970-2018</w:t>
            </w:r>
          </w:p>
        </w:tc>
        <w:tc>
          <w:tcPr>
            <w:tcW w:w="3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06A5DA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红外分光光度法</w:t>
            </w:r>
          </w:p>
        </w:tc>
      </w:tr>
      <w:tr w14:paraId="2A876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ECFB01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总余氯（以Cl计）</w:t>
            </w: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46958E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HJ 586-2010</w:t>
            </w:r>
          </w:p>
        </w:tc>
        <w:tc>
          <w:tcPr>
            <w:tcW w:w="3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117A0C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N,N-二乙基-1,4-苯二胺分光光度法</w:t>
            </w:r>
          </w:p>
        </w:tc>
      </w:tr>
      <w:tr w14:paraId="53C57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C55838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粪大肠菌群数</w:t>
            </w: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7B3D58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HJ 347-2018</w:t>
            </w:r>
          </w:p>
        </w:tc>
        <w:tc>
          <w:tcPr>
            <w:tcW w:w="3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9AC872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多管发酵法</w:t>
            </w:r>
          </w:p>
        </w:tc>
      </w:tr>
      <w:tr w14:paraId="49677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F3FD11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总汞</w:t>
            </w: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96402C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HJ 597-2011</w:t>
            </w:r>
          </w:p>
        </w:tc>
        <w:tc>
          <w:tcPr>
            <w:tcW w:w="3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3F92AE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冷原子吸收分光光度法</w:t>
            </w:r>
          </w:p>
        </w:tc>
      </w:tr>
      <w:tr w14:paraId="61C8E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A47766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总镉</w:t>
            </w: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23E2B2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HJ 491-2019</w:t>
            </w:r>
          </w:p>
        </w:tc>
        <w:tc>
          <w:tcPr>
            <w:tcW w:w="3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1988BC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石墨炉原子吸收分光光度法</w:t>
            </w:r>
          </w:p>
        </w:tc>
      </w:tr>
      <w:tr w14:paraId="68F44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5C1C38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色度</w:t>
            </w: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F3EF47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GB 11903-89</w:t>
            </w:r>
          </w:p>
        </w:tc>
        <w:tc>
          <w:tcPr>
            <w:tcW w:w="3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E09233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稀释倍数法</w:t>
            </w:r>
          </w:p>
        </w:tc>
      </w:tr>
    </w:tbl>
    <w:p w14:paraId="5542029C">
      <w:pPr>
        <w:spacing w:line="240" w:lineRule="auto"/>
      </w:pPr>
    </w:p>
    <w:p w14:paraId="34BD3101">
      <w:pPr>
        <w:spacing w:before="120" w:after="60" w:line="360" w:lineRule="auto"/>
        <w:jc w:val="left"/>
      </w:pPr>
      <w:r>
        <w:rPr>
          <w:rFonts w:ascii="仿宋" w:hAnsi="仿宋" w:eastAsia="仿宋"/>
          <w:b/>
          <w:bCs/>
          <w:sz w:val="24"/>
          <w:szCs w:val="24"/>
        </w:rPr>
        <w:t>2、无组织废气检测要求</w:t>
      </w:r>
    </w:p>
    <w:p w14:paraId="7853B368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监测点位：场界四周上风向1个点、下风向3个点（共4点）</w:t>
      </w:r>
    </w:p>
    <w:p w14:paraId="1EFCE03C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监测频次：4次/点/年，每季度1次（需避开极端气象条件）</w:t>
      </w:r>
    </w:p>
    <w:p w14:paraId="710DEBB1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采样要求：每次监测需连续采集4次/天（非连续采样），监测高度为1.5-3.0米，同步记录风速、风向、温度等气象参数。</w:t>
      </w:r>
    </w:p>
    <w:p w14:paraId="7A3EDC6D">
      <w:pPr>
        <w:spacing w:line="240" w:lineRule="auto"/>
      </w:pPr>
    </w:p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800"/>
        <w:gridCol w:w="2400"/>
        <w:gridCol w:w="3826"/>
      </w:tblGrid>
      <w:tr w14:paraId="494A2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5E8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DE7DD9">
            <w:pPr>
              <w:spacing w:line="360" w:lineRule="auto"/>
              <w:jc w:val="center"/>
            </w:pPr>
            <w:r>
              <w:rPr>
                <w:rFonts w:ascii="黑体" w:hAnsi="黑体" w:eastAsia="黑体"/>
                <w:b/>
                <w:bCs/>
                <w:sz w:val="24"/>
                <w:szCs w:val="24"/>
              </w:rPr>
              <w:t>监测因子</w:t>
            </w: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5E8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FBEE88">
            <w:pPr>
              <w:spacing w:line="360" w:lineRule="auto"/>
              <w:jc w:val="center"/>
            </w:pPr>
            <w:r>
              <w:rPr>
                <w:rFonts w:ascii="黑体" w:hAnsi="黑体" w:eastAsia="黑体"/>
                <w:b/>
                <w:bCs/>
                <w:sz w:val="24"/>
                <w:szCs w:val="24"/>
              </w:rPr>
              <w:t>检测方法标准</w:t>
            </w:r>
          </w:p>
        </w:tc>
        <w:tc>
          <w:tcPr>
            <w:tcW w:w="3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5E8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C4B867">
            <w:pPr>
              <w:spacing w:line="360" w:lineRule="auto"/>
              <w:jc w:val="center"/>
            </w:pPr>
            <w:r>
              <w:rPr>
                <w:rFonts w:ascii="黑体" w:hAnsi="黑体" w:eastAsia="黑体"/>
                <w:b/>
                <w:bCs/>
                <w:sz w:val="24"/>
                <w:szCs w:val="24"/>
              </w:rPr>
              <w:t>备注</w:t>
            </w:r>
          </w:p>
        </w:tc>
      </w:tr>
      <w:tr w14:paraId="734B0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3DEF47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甲烷</w:t>
            </w: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86320C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HJ 604-2017</w:t>
            </w:r>
          </w:p>
        </w:tc>
        <w:tc>
          <w:tcPr>
            <w:tcW w:w="3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1D05CD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气袋采样-气相色谱法</w:t>
            </w:r>
          </w:p>
        </w:tc>
      </w:tr>
      <w:tr w14:paraId="7E566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91CD54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氨（氨气）</w:t>
            </w: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F26222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HJ 533-2009</w:t>
            </w:r>
          </w:p>
        </w:tc>
        <w:tc>
          <w:tcPr>
            <w:tcW w:w="3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607309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纳氏试剂分光光度法</w:t>
            </w:r>
          </w:p>
        </w:tc>
      </w:tr>
      <w:tr w14:paraId="564D3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07115E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硫化氢</w:t>
            </w: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9EC47B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HJ 1076-2019</w:t>
            </w:r>
          </w:p>
        </w:tc>
        <w:tc>
          <w:tcPr>
            <w:tcW w:w="3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65F691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亚甲基蓝分光光度法</w:t>
            </w:r>
          </w:p>
        </w:tc>
      </w:tr>
      <w:tr w14:paraId="65FB1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EE98A6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氯（氯气）</w:t>
            </w: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CE91A8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HJ 547-2019</w:t>
            </w:r>
          </w:p>
        </w:tc>
        <w:tc>
          <w:tcPr>
            <w:tcW w:w="3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D926D7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甲基橙分光光度法</w:t>
            </w:r>
          </w:p>
        </w:tc>
      </w:tr>
      <w:tr w14:paraId="55A8E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86C9E6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臭气浓度</w:t>
            </w:r>
          </w:p>
        </w:tc>
        <w:tc>
          <w:tcPr>
            <w:tcW w:w="2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839F9D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GB 14675-93</w:t>
            </w:r>
          </w:p>
        </w:tc>
        <w:tc>
          <w:tcPr>
            <w:tcW w:w="3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0875E4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三点比较式臭袋法</w:t>
            </w:r>
          </w:p>
        </w:tc>
      </w:tr>
    </w:tbl>
    <w:p w14:paraId="7969753E">
      <w:pPr>
        <w:spacing w:line="240" w:lineRule="auto"/>
      </w:pPr>
    </w:p>
    <w:p w14:paraId="79E4BA96">
      <w:pPr>
        <w:spacing w:before="120" w:after="60" w:line="360" w:lineRule="auto"/>
        <w:jc w:val="left"/>
      </w:pPr>
      <w:r>
        <w:rPr>
          <w:rFonts w:ascii="仿宋" w:hAnsi="仿宋" w:eastAsia="仿宋"/>
          <w:b/>
          <w:bCs/>
          <w:sz w:val="24"/>
          <w:szCs w:val="24"/>
        </w:rPr>
        <w:t>3、噪声检测要求</w:t>
      </w:r>
    </w:p>
    <w:p w14:paraId="7ACCA767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检测标准：《工业企业厂界环境噪声排放标准》（GB 12348-2008）、《声环境质量标准》（GB 3096-2008）</w:t>
      </w:r>
    </w:p>
    <w:p w14:paraId="5B74D7EF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监测点位：依据排污许可证载明的检测点位执行，共计4处，分别布设于院区厂界四周（东侧、南侧、西侧、北侧各1处），优先选取靠近噪声源及敏感点位置。</w:t>
      </w:r>
    </w:p>
    <w:p w14:paraId="28430168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监测频次：每季度1次，全年共4次；每次连续监测2天（昼夜各1次），昼间监测时段为06:00-22:00，夜间监测时段为22:00-次日06:00。</w:t>
      </w:r>
    </w:p>
    <w:p w14:paraId="4AEF1DED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监测因子：等效连续A声级（Leq），分别记录昼间等效声级（Ld）和夜间等效声级（Ln）。</w:t>
      </w:r>
    </w:p>
    <w:p w14:paraId="7EAA243C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监测方法：采用积分平均声级计进行现场测量，仪器精度等级不低于2级，测量前须进行校准并留存校准记录；测量高度为距地面1.2-1.5米，传声器指向主要声源方向。</w:t>
      </w:r>
    </w:p>
    <w:p w14:paraId="521459F4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气象条件：监测时风速应小于5m/s，避免雨天、雷电等恶劣天气；测量应在无雨雪、风力较小时段进行。</w:t>
      </w:r>
    </w:p>
    <w:p w14:paraId="26B333CC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背景噪声修正：当测量值与背景噪声值差值在3-10dB(A)之间时，须按GB 12348-2008附录要求进行背景噪声修正；差值小于3dB(A)时，本次监测数据视为无效并重新安排监测。</w:t>
      </w:r>
    </w:p>
    <w:p w14:paraId="5AC4E4B0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数据记录与报告：每次监测须完整记录测量时间、点位编号、气象条件、仪器型号及校准信息；监测报告须包含各点位昼间/夜间等效声级、最大声级、超标情况及与标准限值比对结论。</w:t>
      </w:r>
    </w:p>
    <w:p w14:paraId="59300380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限值要求：医院属于1类声环境功能区，厂界噪声限值为昼间≤55dB(A)、夜间≤45dB(A)；若厂界外邻近居住、文教区域，按《声环境质量标准》从严执行。</w:t>
      </w:r>
    </w:p>
    <w:p w14:paraId="6A537FB0">
      <w:pPr>
        <w:spacing w:before="0" w:after="0" w:line="360" w:lineRule="auto"/>
        <w:ind w:firstLine="480"/>
        <w:jc w:val="both"/>
      </w:pPr>
      <w:r>
        <w:rPr>
          <w:rFonts w:ascii="仿宋" w:hAnsi="仿宋" w:eastAsia="仿宋"/>
          <w:sz w:val="24"/>
          <w:szCs w:val="24"/>
        </w:rPr>
        <w:t>质量控制：每次监测前后使用声校准器进行校准，校准偏差不超过0.5dB；每季度对声级计送计量检定机构检定/校准一次，确保量值溯源有效。</w:t>
      </w:r>
    </w:p>
    <w:p w14:paraId="552821DA">
      <w:pPr>
        <w:spacing w:line="240" w:lineRule="auto"/>
      </w:pPr>
    </w:p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00"/>
        <w:gridCol w:w="1600"/>
        <w:gridCol w:w="1800"/>
        <w:gridCol w:w="1600"/>
        <w:gridCol w:w="3226"/>
      </w:tblGrid>
      <w:tr w14:paraId="3F668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5E8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B99F9A">
            <w:pPr>
              <w:spacing w:line="360" w:lineRule="auto"/>
              <w:jc w:val="center"/>
            </w:pPr>
            <w:r>
              <w:rPr>
                <w:rFonts w:ascii="黑体" w:hAnsi="黑体" w:eastAsia="黑体"/>
                <w:b/>
                <w:bCs/>
                <w:sz w:val="24"/>
                <w:szCs w:val="24"/>
              </w:rPr>
              <w:t>点位编号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5E8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09DCD0">
            <w:pPr>
              <w:spacing w:line="360" w:lineRule="auto"/>
              <w:jc w:val="center"/>
            </w:pPr>
            <w:r>
              <w:rPr>
                <w:rFonts w:ascii="黑体" w:hAnsi="黑体" w:eastAsia="黑体"/>
                <w:b/>
                <w:bCs/>
                <w:sz w:val="24"/>
                <w:szCs w:val="24"/>
              </w:rPr>
              <w:t>布设位置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5E8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AFDB03">
            <w:pPr>
              <w:spacing w:line="360" w:lineRule="auto"/>
              <w:jc w:val="center"/>
            </w:pPr>
            <w:r>
              <w:rPr>
                <w:rFonts w:ascii="黑体" w:hAnsi="黑体" w:eastAsia="黑体"/>
                <w:b/>
                <w:bCs/>
                <w:sz w:val="24"/>
                <w:szCs w:val="24"/>
              </w:rPr>
              <w:t>监测时段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5E8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6550A1">
            <w:pPr>
              <w:spacing w:line="360" w:lineRule="auto"/>
              <w:jc w:val="center"/>
            </w:pPr>
            <w:r>
              <w:rPr>
                <w:rFonts w:ascii="黑体" w:hAnsi="黑体" w:eastAsia="黑体"/>
                <w:b/>
                <w:bCs/>
                <w:sz w:val="24"/>
                <w:szCs w:val="24"/>
              </w:rPr>
              <w:t>频次</w:t>
            </w:r>
          </w:p>
        </w:tc>
        <w:tc>
          <w:tcPr>
            <w:tcW w:w="32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5E8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E5E7AD">
            <w:pPr>
              <w:spacing w:line="360" w:lineRule="auto"/>
              <w:jc w:val="center"/>
            </w:pPr>
            <w:r>
              <w:rPr>
                <w:rFonts w:ascii="黑体" w:hAnsi="黑体" w:eastAsia="黑体"/>
                <w:b/>
                <w:bCs/>
                <w:sz w:val="24"/>
                <w:szCs w:val="24"/>
              </w:rPr>
              <w:t>限值要求</w:t>
            </w:r>
          </w:p>
        </w:tc>
      </w:tr>
      <w:tr w14:paraId="0B589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33AB4E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N1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FF4C11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厂界东侧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51FCF6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昼间/夜间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40935D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4次/年</w:t>
            </w:r>
          </w:p>
        </w:tc>
        <w:tc>
          <w:tcPr>
            <w:tcW w:w="32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072187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昼≤55dB(A) / 夜≤45dB(A)</w:t>
            </w:r>
          </w:p>
        </w:tc>
      </w:tr>
      <w:tr w14:paraId="69B69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08BD8A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N2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24799B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厂界南侧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E7ABDF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昼间/夜间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0EBFBB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4次/年</w:t>
            </w:r>
          </w:p>
        </w:tc>
        <w:tc>
          <w:tcPr>
            <w:tcW w:w="32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4255C5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昼≤55dB(A) / 夜≤45dB(A)</w:t>
            </w:r>
          </w:p>
        </w:tc>
      </w:tr>
      <w:tr w14:paraId="5DFEC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F359DC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N3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99267A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厂界西侧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F2C861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昼间/夜间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E8ECD0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4次/年</w:t>
            </w:r>
          </w:p>
        </w:tc>
        <w:tc>
          <w:tcPr>
            <w:tcW w:w="32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02722C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昼≤55dB(A) / 夜≤45dB(A)</w:t>
            </w:r>
          </w:p>
        </w:tc>
      </w:tr>
      <w:tr w14:paraId="64658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942A2B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N4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5AFCEC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厂界北侧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2FF50D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昼间/夜间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BE680D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4次/年</w:t>
            </w:r>
          </w:p>
        </w:tc>
        <w:tc>
          <w:tcPr>
            <w:tcW w:w="32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2874E2">
            <w:pPr>
              <w:spacing w:line="360" w:lineRule="auto"/>
              <w:jc w:val="center"/>
            </w:pPr>
            <w:r>
              <w:rPr>
                <w:rFonts w:ascii="仿宋" w:hAnsi="仿宋" w:eastAsia="仿宋"/>
                <w:sz w:val="24"/>
                <w:szCs w:val="24"/>
              </w:rPr>
              <w:t>昼≤55dB(A) / 夜≤45dB(A)</w:t>
            </w:r>
          </w:p>
        </w:tc>
      </w:tr>
    </w:tbl>
    <w:p w14:paraId="34978D4F">
      <w:pPr>
        <w:spacing w:line="240" w:lineRule="auto"/>
      </w:pPr>
    </w:p>
    <w:p w14:paraId="7485DB69">
      <w:pPr>
        <w:spacing w:before="200" w:after="120" w:line="400" w:lineRule="auto"/>
        <w:jc w:val="left"/>
      </w:pPr>
      <w:r>
        <w:rPr>
          <w:rFonts w:ascii="黑体" w:hAnsi="黑体" w:eastAsia="黑体"/>
          <w:b/>
          <w:bCs/>
          <w:sz w:val="32"/>
          <w:szCs w:val="32"/>
        </w:rPr>
        <w:t>三、服务方资格要求</w:t>
      </w:r>
    </w:p>
    <w:p w14:paraId="31CB00CD">
      <w:pPr>
        <w:spacing w:before="0" w:after="0" w:line="360" w:lineRule="auto"/>
        <w:ind w:left="480" w:firstLine="480" w:firstLineChars="200"/>
        <w:jc w:val="left"/>
      </w:pPr>
      <w:r>
        <w:rPr>
          <w:rFonts w:ascii="仿宋" w:hAnsi="仿宋" w:eastAsia="仿宋"/>
          <w:sz w:val="24"/>
          <w:szCs w:val="24"/>
        </w:rPr>
        <w:t>基本资质：具备独立法人资格；持有CMA认证（检验检测机构资质认定证书），且认证范围涵盖废水、废气及噪声检测项目。</w:t>
      </w:r>
    </w:p>
    <w:p w14:paraId="1C7ED5EB">
      <w:pPr>
        <w:spacing w:before="0" w:after="0" w:line="360" w:lineRule="auto"/>
        <w:ind w:left="480" w:firstLine="480" w:firstLineChars="200"/>
        <w:jc w:val="left"/>
      </w:pPr>
      <w:r>
        <w:rPr>
          <w:rFonts w:ascii="仿宋" w:hAnsi="仿宋" w:eastAsia="仿宋"/>
          <w:sz w:val="24"/>
          <w:szCs w:val="24"/>
        </w:rPr>
        <w:t>业绩经验：近2年内承担过至少3项污染源检测类项目（需提供合同复印件）；熟悉环保部门数据报送流程，能够协助甲方通过监管核查。</w:t>
      </w:r>
    </w:p>
    <w:p w14:paraId="526F1E21">
      <w:pPr>
        <w:spacing w:before="0" w:after="0" w:line="360" w:lineRule="auto"/>
        <w:ind w:left="480" w:firstLine="480" w:firstLineChars="200"/>
        <w:jc w:val="left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人员配置：项目负责人需具备环境监测</w:t>
      </w:r>
      <w:r>
        <w:rPr>
          <w:rFonts w:hint="eastAsia"/>
          <w:sz w:val="24"/>
          <w:szCs w:val="24"/>
          <w:lang w:val="en-US" w:eastAsia="zh-CN"/>
        </w:rPr>
        <w:t>相关证书或职称</w:t>
      </w:r>
      <w:r>
        <w:rPr>
          <w:rFonts w:ascii="仿宋" w:hAnsi="仿宋" w:eastAsia="仿宋"/>
          <w:sz w:val="24"/>
          <w:szCs w:val="24"/>
        </w:rPr>
        <w:t>，并有从业经验；现场采样人员需</w:t>
      </w:r>
      <w:r>
        <w:rPr>
          <w:rFonts w:hint="eastAsia" w:ascii="仿宋" w:hAnsi="仿宋" w:eastAsia="仿宋"/>
          <w:color w:val="auto"/>
          <w:sz w:val="24"/>
          <w:szCs w:val="24"/>
        </w:rPr>
        <w:t>CMA体系培训证书</w:t>
      </w:r>
      <w:r>
        <w:rPr>
          <w:rFonts w:ascii="仿宋" w:hAnsi="仿宋" w:eastAsia="仿宋"/>
          <w:sz w:val="24"/>
          <w:szCs w:val="24"/>
        </w:rPr>
        <w:t>，并提供近</w:t>
      </w:r>
      <w:r>
        <w:rPr>
          <w:rFonts w:hint="eastAsia"/>
          <w:color w:val="auto"/>
          <w:sz w:val="24"/>
          <w:szCs w:val="24"/>
          <w:lang w:val="en-US" w:eastAsia="zh-CN"/>
        </w:rPr>
        <w:t>任意一个</w:t>
      </w:r>
      <w:r>
        <w:rPr>
          <w:rFonts w:ascii="仿宋" w:hAnsi="仿宋" w:eastAsia="仿宋"/>
          <w:color w:val="auto"/>
          <w:sz w:val="24"/>
          <w:szCs w:val="24"/>
        </w:rPr>
        <w:t>月社保缴纳证明</w:t>
      </w:r>
      <w:r>
        <w:rPr>
          <w:rFonts w:hint="eastAsia"/>
          <w:color w:val="auto"/>
          <w:sz w:val="24"/>
          <w:szCs w:val="24"/>
          <w:lang w:val="en-US" w:eastAsia="zh-CN"/>
        </w:rPr>
        <w:t>或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与上述人员签订的劳动合同（退休返聘人员提供劳务合同及退休证复印件）复印件</w:t>
      </w:r>
      <w:r>
        <w:rPr>
          <w:rFonts w:ascii="仿宋" w:hAnsi="仿宋" w:eastAsia="仿宋"/>
          <w:sz w:val="24"/>
          <w:szCs w:val="24"/>
        </w:rPr>
        <w:t>。</w:t>
      </w:r>
    </w:p>
    <w:p w14:paraId="4D308A88">
      <w:pPr>
        <w:spacing w:before="0" w:after="0" w:line="360" w:lineRule="auto"/>
        <w:ind w:left="480" w:firstLine="240" w:firstLineChars="100"/>
        <w:jc w:val="left"/>
      </w:pPr>
      <w:r>
        <w:rPr>
          <w:rFonts w:ascii="仿宋" w:hAnsi="仿宋" w:eastAsia="仿宋"/>
          <w:sz w:val="24"/>
          <w:szCs w:val="24"/>
        </w:rPr>
        <w:t>设备要求：需自备符合国家标准的采样仪器（如大气采样器、烟气分析仪、积分平均声级计等）及实验室分析设备。</w:t>
      </w:r>
    </w:p>
    <w:p w14:paraId="144BF765">
      <w:pPr>
        <w:spacing w:before="200" w:after="120" w:line="400" w:lineRule="auto"/>
        <w:jc w:val="left"/>
      </w:pPr>
      <w:r>
        <w:rPr>
          <w:rFonts w:ascii="黑体" w:hAnsi="黑体" w:eastAsia="黑体"/>
          <w:b/>
          <w:bCs/>
          <w:sz w:val="32"/>
          <w:szCs w:val="32"/>
        </w:rPr>
        <w:t>四、服务质量与责任</w:t>
      </w:r>
    </w:p>
    <w:p w14:paraId="64C296F5">
      <w:pPr>
        <w:spacing w:before="0" w:after="0" w:line="360" w:lineRule="auto"/>
        <w:ind w:left="480" w:firstLine="480" w:firstLineChars="200"/>
        <w:jc w:val="both"/>
      </w:pPr>
      <w:r>
        <w:rPr>
          <w:rFonts w:ascii="仿宋" w:hAnsi="仿宋" w:eastAsia="仿宋"/>
          <w:sz w:val="24"/>
          <w:szCs w:val="24"/>
        </w:rPr>
        <w:t>数据准确性：检测机构对数据的真实性、完整性承担法律责任，如因数据失真导致环保处罚，需赔偿甲方损失。</w:t>
      </w:r>
    </w:p>
    <w:p w14:paraId="7A72A98C">
      <w:pPr>
        <w:spacing w:before="0" w:after="0" w:line="360" w:lineRule="auto"/>
        <w:ind w:left="480" w:firstLine="480" w:firstLineChars="200"/>
        <w:jc w:val="both"/>
      </w:pPr>
      <w:r>
        <w:rPr>
          <w:rFonts w:ascii="仿宋" w:hAnsi="仿宋" w:eastAsia="仿宋"/>
          <w:sz w:val="24"/>
          <w:szCs w:val="24"/>
        </w:rPr>
        <w:t>报告提交：每次监测完成后</w:t>
      </w: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ascii="仿宋" w:hAnsi="仿宋" w:eastAsia="仿宋"/>
          <w:sz w:val="24"/>
          <w:szCs w:val="24"/>
        </w:rPr>
        <w:t>个工作日内提交正式CMA报告（一式</w:t>
      </w:r>
      <w:r>
        <w:rPr>
          <w:rFonts w:hint="eastAsia"/>
          <w:sz w:val="24"/>
          <w:szCs w:val="24"/>
          <w:lang w:val="en-US" w:eastAsia="zh-CN"/>
        </w:rPr>
        <w:t>二</w:t>
      </w:r>
      <w:r>
        <w:rPr>
          <w:rFonts w:ascii="仿宋" w:hAnsi="仿宋" w:eastAsia="仿宋"/>
          <w:sz w:val="24"/>
          <w:szCs w:val="24"/>
        </w:rPr>
        <w:t>份）；报告需包含采样现场记录、质控数据、检测方法及结果分析。</w:t>
      </w:r>
    </w:p>
    <w:p w14:paraId="08223C97">
      <w:pPr>
        <w:spacing w:before="0" w:after="0" w:line="360" w:lineRule="auto"/>
        <w:ind w:left="480" w:firstLine="480" w:firstLineChars="200"/>
        <w:jc w:val="both"/>
      </w:pPr>
      <w:r>
        <w:rPr>
          <w:rFonts w:ascii="仿宋" w:hAnsi="仿宋" w:eastAsia="仿宋"/>
          <w:sz w:val="24"/>
          <w:szCs w:val="24"/>
        </w:rPr>
        <w:t>异常处理：发现数据超标或仪器异常时，需在24小时内书面通知甲方并提出整改建议。</w:t>
      </w:r>
    </w:p>
    <w:p w14:paraId="5EF9DC81">
      <w:pPr>
        <w:spacing w:before="200" w:after="120" w:line="400" w:lineRule="auto"/>
        <w:jc w:val="left"/>
      </w:pPr>
      <w:r>
        <w:rPr>
          <w:rFonts w:ascii="黑体" w:hAnsi="黑体" w:eastAsia="黑体"/>
          <w:b/>
          <w:bCs/>
          <w:sz w:val="32"/>
          <w:szCs w:val="32"/>
        </w:rPr>
        <w:t>五、附则</w:t>
      </w:r>
    </w:p>
    <w:p w14:paraId="751E1B96">
      <w:pPr>
        <w:spacing w:before="0" w:after="0" w:line="360" w:lineRule="auto"/>
        <w:ind w:left="480" w:firstLine="0"/>
        <w:jc w:val="both"/>
      </w:pPr>
      <w:r>
        <w:rPr>
          <w:rFonts w:ascii="仿宋" w:hAnsi="仿宋" w:eastAsia="仿宋"/>
          <w:sz w:val="24"/>
          <w:szCs w:val="24"/>
        </w:rPr>
        <w:t>本项目不接受联合体投标，严禁转包或分包。</w:t>
      </w:r>
    </w:p>
    <w:p w14:paraId="2FD7D3E9">
      <w:pPr>
        <w:spacing w:before="0" w:after="0" w:line="360" w:lineRule="auto"/>
        <w:ind w:left="480" w:firstLine="0"/>
        <w:jc w:val="both"/>
      </w:pPr>
      <w:r>
        <w:rPr>
          <w:rFonts w:ascii="仿宋" w:hAnsi="仿宋" w:eastAsia="仿宋"/>
          <w:sz w:val="24"/>
          <w:szCs w:val="24"/>
        </w:rPr>
        <w:t>招标人保留在同等条件下优先与本地服务机构签约的权利。</w:t>
      </w:r>
    </w:p>
    <w:p w14:paraId="25F3F237">
      <w:pPr>
        <w:spacing w:before="200" w:after="120" w:line="400" w:lineRule="auto"/>
        <w:jc w:val="left"/>
      </w:pPr>
      <w:r>
        <w:rPr>
          <w:rFonts w:ascii="黑体" w:hAnsi="黑体" w:eastAsia="黑体"/>
          <w:b/>
          <w:bCs/>
          <w:sz w:val="28"/>
          <w:szCs w:val="28"/>
        </w:rPr>
        <w:t>关键条款说明</w:t>
      </w:r>
    </w:p>
    <w:p w14:paraId="6CF7B9B9">
      <w:pPr>
        <w:spacing w:before="0" w:after="0" w:line="360" w:lineRule="auto"/>
        <w:ind w:left="480" w:firstLine="0"/>
        <w:jc w:val="both"/>
      </w:pPr>
      <w:r>
        <w:rPr>
          <w:rFonts w:ascii="仿宋" w:hAnsi="仿宋" w:eastAsia="仿宋"/>
          <w:sz w:val="24"/>
          <w:szCs w:val="24"/>
        </w:rPr>
        <w:t>监测因子调整：若当地环保部门发布新标准，监测方法需按最新规范执行，不额外增加费用。</w:t>
      </w:r>
    </w:p>
    <w:p w14:paraId="0224E648">
      <w:pPr>
        <w:spacing w:before="0" w:after="0" w:line="360" w:lineRule="auto"/>
        <w:ind w:left="480" w:firstLine="0"/>
        <w:jc w:val="both"/>
      </w:pPr>
      <w:r>
        <w:rPr>
          <w:rFonts w:ascii="仿宋" w:hAnsi="仿宋" w:eastAsia="仿宋"/>
          <w:sz w:val="24"/>
          <w:szCs w:val="24"/>
        </w:rPr>
        <w:t>应急监测：服务方需承诺每年提供不超过3次的免费应急监测服务（如突发污染事件）。</w:t>
      </w:r>
    </w:p>
    <w:p w14:paraId="315A067C">
      <w:pPr>
        <w:spacing w:before="0" w:after="0" w:line="360" w:lineRule="auto"/>
        <w:ind w:left="480" w:firstLine="0"/>
        <w:jc w:val="both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废液处理：检测过程中产生的废液须委托有资质单位处置，并提供转移联单。</w:t>
      </w:r>
    </w:p>
    <w:p w14:paraId="176EC98E">
      <w:pPr>
        <w:spacing w:before="0" w:after="0" w:line="360" w:lineRule="auto"/>
        <w:ind w:left="480" w:firstLine="0"/>
        <w:jc w:val="both"/>
        <w:rPr>
          <w:rFonts w:ascii="仿宋" w:hAnsi="仿宋" w:eastAsia="仿宋"/>
          <w:sz w:val="24"/>
          <w:szCs w:val="24"/>
        </w:rPr>
      </w:pPr>
    </w:p>
    <w:p w14:paraId="435BE533">
      <w:pPr>
        <w:spacing w:before="0" w:after="0" w:line="360" w:lineRule="auto"/>
        <w:ind w:left="480" w:firstLine="0"/>
        <w:jc w:val="right"/>
        <w:rPr>
          <w:rFonts w:hint="default" w:ascii="仿宋" w:hAnsi="仿宋" w:eastAsia="仿宋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2026年8月4日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D5883E">
    <w:pPr>
      <w:jc w:val="center"/>
    </w:pPr>
    <w:r>
      <w:rPr>
        <w:rFonts w:ascii="宋体" w:hAnsi="宋体" w:eastAsia="宋体" w:cs="宋体"/>
        <w:sz w:val="18"/>
        <w:szCs w:val="18"/>
      </w:rPr>
      <w:t xml:space="preserve">第 </w:t>
    </w:r>
    <w:r>
      <w:rPr>
        <w:rFonts w:ascii="宋体" w:hAnsi="宋体" w:eastAsia="宋体" w:cs="宋体"/>
        <w:sz w:val="18"/>
        <w:szCs w:val="18"/>
      </w:rPr>
      <w:fldChar w:fldCharType="begin"/>
    </w:r>
    <w:r>
      <w:rPr>
        <w:rFonts w:ascii="宋体" w:hAnsi="宋体" w:eastAsia="宋体" w:cs="宋体"/>
        <w:sz w:val="18"/>
        <w:szCs w:val="18"/>
      </w:rPr>
      <w:instrText xml:space="preserve">PAGE</w:instrText>
    </w:r>
    <w:r>
      <w:rPr>
        <w:rFonts w:ascii="宋体" w:hAnsi="宋体" w:eastAsia="宋体" w:cs="宋体"/>
        <w:sz w:val="18"/>
        <w:szCs w:val="18"/>
      </w:rPr>
      <w:fldChar w:fldCharType="separate"/>
    </w:r>
    <w:r>
      <w:rPr>
        <w:rFonts w:ascii="宋体" w:hAnsi="宋体" w:eastAsia="宋体" w:cs="宋体"/>
        <w:sz w:val="18"/>
        <w:szCs w:val="18"/>
      </w:rPr>
      <w:fldChar w:fldCharType="end"/>
    </w:r>
    <w:r>
      <w:rPr>
        <w:rFonts w:ascii="宋体" w:hAnsi="宋体" w:eastAsia="宋体" w:cs="宋体"/>
        <w:sz w:val="18"/>
        <w:szCs w:val="18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B96802">
    <w:pPr>
      <w:pBdr>
        <w:bottom w:val="single" w:color="AAAAAA" w:sz="4" w:space="4"/>
      </w:pBdr>
      <w:spacing w:after="0"/>
      <w:jc w:val="center"/>
    </w:pPr>
    <w:r>
      <w:rPr>
        <w:rFonts w:ascii="宋体" w:hAnsi="宋体" w:eastAsia="宋体"/>
        <w:color w:val="888888"/>
        <w:sz w:val="18"/>
        <w:szCs w:val="18"/>
      </w:rPr>
      <w:t>污水处理废水与无组织废气第三方检测服务项目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153D245B"/>
    <w:rsid w:val="2882286B"/>
    <w:rsid w:val="2B536F21"/>
    <w:rsid w:val="70346D83"/>
    <w:rsid w:val="71BC285A"/>
    <w:rsid w:val="758E0F56"/>
    <w:rsid w:val="772808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" w:hAnsi="仿宋" w:eastAsia="仿宋" w:cs="仿宋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="仿宋"/>
      <w:sz w:val="24"/>
      <w:szCs w:val="24"/>
    </w:rPr>
  </w:style>
  <w:style w:type="paragraph" w:styleId="2">
    <w:name w:val="heading 1"/>
    <w:next w:val="1"/>
    <w:qFormat/>
    <w:uiPriority w:val="0"/>
    <w:rPr>
      <w:rFonts w:ascii="仿宋" w:hAnsi="仿宋" w:eastAsia="仿宋" w:cs="仿宋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仿宋" w:hAnsi="仿宋" w:eastAsia="仿宋" w:cs="仿宋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仿宋" w:hAnsi="仿宋" w:eastAsia="仿宋" w:cs="仿宋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仿宋" w:hAnsi="仿宋" w:eastAsia="仿宋" w:cs="仿宋"/>
      <w:i/>
      <w:iCs/>
      <w:color w:val="2E74B5"/>
      <w:sz w:val="24"/>
      <w:szCs w:val="24"/>
    </w:rPr>
  </w:style>
  <w:style w:type="paragraph" w:styleId="6">
    <w:name w:val="heading 5"/>
    <w:next w:val="1"/>
    <w:qFormat/>
    <w:uiPriority w:val="0"/>
    <w:rPr>
      <w:rFonts w:ascii="仿宋" w:hAnsi="仿宋" w:eastAsia="仿宋" w:cs="仿宋"/>
      <w:color w:val="2E74B5"/>
      <w:sz w:val="24"/>
      <w:szCs w:val="24"/>
    </w:rPr>
  </w:style>
  <w:style w:type="paragraph" w:styleId="7">
    <w:name w:val="heading 6"/>
    <w:next w:val="1"/>
    <w:qFormat/>
    <w:uiPriority w:val="0"/>
    <w:rPr>
      <w:rFonts w:ascii="仿宋" w:hAnsi="仿宋" w:eastAsia="仿宋" w:cs="仿宋"/>
      <w:color w:val="1F4D78"/>
      <w:sz w:val="24"/>
      <w:szCs w:val="24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qFormat/>
    <w:uiPriority w:val="99"/>
    <w:pPr>
      <w:spacing w:after="0" w:line="240" w:lineRule="auto"/>
    </w:pPr>
    <w:rPr>
      <w:rFonts w:ascii="仿宋" w:hAnsi="仿宋" w:eastAsia="仿宋" w:cs="仿宋"/>
      <w:sz w:val="20"/>
      <w:szCs w:val="20"/>
    </w:rPr>
  </w:style>
  <w:style w:type="paragraph" w:styleId="9">
    <w:name w:val="footnote text"/>
    <w:link w:val="17"/>
    <w:semiHidden/>
    <w:unhideWhenUsed/>
    <w:qFormat/>
    <w:uiPriority w:val="99"/>
    <w:pPr>
      <w:spacing w:after="0" w:line="240" w:lineRule="auto"/>
    </w:pPr>
    <w:rPr>
      <w:rFonts w:ascii="仿宋" w:hAnsi="仿宋" w:eastAsia="仿宋" w:cs="仿宋"/>
      <w:sz w:val="20"/>
      <w:szCs w:val="20"/>
    </w:rPr>
  </w:style>
  <w:style w:type="paragraph" w:styleId="10">
    <w:name w:val="Title"/>
    <w:qFormat/>
    <w:uiPriority w:val="0"/>
    <w:rPr>
      <w:rFonts w:ascii="仿宋" w:hAnsi="仿宋" w:eastAsia="仿宋" w:cs="仿宋"/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仿宋" w:hAnsi="仿宋" w:eastAsia="仿宋" w:cs="仿宋"/>
      <w:sz w:val="24"/>
      <w:szCs w:val="24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2160</Words>
  <Characters>2554</Characters>
  <TotalTime>4</TotalTime>
  <ScaleCrop>false</ScaleCrop>
  <LinksUpToDate>false</LinksUpToDate>
  <CharactersWithSpaces>2591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2026-07-28T02:54:00Z</dcterms:created>
  <dc:creator>Un-named</dc:creator>
  <cp:lastModifiedBy>龙兴之地出云龙</cp:lastModifiedBy>
  <dcterms:modified xsi:type="dcterms:W3CDTF">2026-08-04T07:07:05Z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{"Label":"1","ContentProducer":"001191440300708461136T1WFUO","ProduceID":"4299013810a76b5c2f6b677a6ed78587-ozsu","ReservedCode1":"{\"Type\":\" TC260PG\",\"Version\":1,\"Bindings\":[{\"Type\":\"soft\",\"AlgID\":\"sm3\",\"Value\":\"a9f901cdee058640a1861f0231beb0d513761d6beb399a3aa34d22fc88abaa26\"},{\"Type\":\"hash\",\"AlgID\":\"sm3\",\"Value\":\"44f50c4ced59ccafe6715d6917efb8ae22a0b18c1894e3badfe8c1807222e963\"}],\"PubSD\":[{\"Type\":\"DS\",\"AlgID\":\"sm2\",\"TBSData\":{\"Type\":\"Binding\",\"BType\":\"hash\"},\"Signature\":\"30450220317b4ff161b6b45a303352294f092ab5d46b66de5fa2c3f488011cae1c2d014b022100936298c5412f688985faef7082e30eb071503c1a2b9b1d03ada912dc2da112c6\"},{\"Type\":\"PubKey\",\"AlgID\":\"sm2\",\"KeyValue\":\"0407f79b28a17a752b3aae4305c98b48978213832729a2571850b1310b2bc9fe8fee039ccf25ebfeac27502414d9fcef792d777183c98893d226171c2f7a3289a2\"}],\"Extension\":{\"Timestamp\":1785207312,\"KeyVersion\":\"v1-TxLeOmf7bqU223\"}}","ContentPropagator":"001191440300708461136T1WFUO","PropagateID":"4299013810a76b5c2f6b677a6ed78587-ozsu","ReservedCode2":"{\"Type\":\" TC260PG\",\"Version\":1,\"Bindings\":[{\"Type\":\"soft\",\"AlgID\":\"sm3\",\"Value\":\"a9f901cdee058640a1861f0231beb0d513761d6beb399a3aa34d22fc88abaa26\"},{\"Type\":\"hash\",\"AlgID\":\"sm3\",\"Value\":\"44f50c4ced59ccafe6715d6917efb8ae22a0b18c1894e3badfe8c1807222e963\"}],\"PubSD\":[{\"Type\":\"DS\",\"AlgID\":\"sm2\",\"TBSData\":{\"Type\":\"Binding\",\"BType\":\"hash\"},\"Signature\":\"3045022035fdd2c54d25d23b48752fca9df3aeecdc3545ba388abeff4ff38532bae63e93022100d2e5f5739052f4427e1afaf4a6a7decb501c5259ba5031a4945c337367d51c72\"},{\"Type\":\"PubKey\",\"AlgID\":\"sm2\",\"KeyValue\":\"0407f79b28a17a752b3aae4305c98b48978213832729a2571850b1310b2bc9fe8fee039ccf25ebfeac27502414d9fcef792d777183c98893d226171c2f7a3289a2\"}],\"Extension\":{\"Timestamp\":1785207312,\"KeyVersion\":\"v1-TxLeOmf7bqU223\"}}"}</vt:lpwstr>
  </property>
  <property fmtid="{D5CDD505-2E9C-101B-9397-08002B2CF9AE}" pid="3" name="KSOTemplateDocerSaveRecord">
    <vt:lpwstr>eyJoZGlkIjoiMjQ3Njg3ODFhZmMyYWM1MjM2Zjc3ZTkzZjlmZmRhMGMiLCJ1c2VySWQiOiIzNTgzMDI3NDYifQ==</vt:lpwstr>
  </property>
  <property fmtid="{D5CDD505-2E9C-101B-9397-08002B2CF9AE}" pid="4" name="KSOProductBuildVer">
    <vt:lpwstr>2052-12.1.0.19770</vt:lpwstr>
  </property>
  <property fmtid="{D5CDD505-2E9C-101B-9397-08002B2CF9AE}" pid="5" name="ICV">
    <vt:lpwstr>4F5F8B1E894F43B090F5DEBEF277CE5D_13</vt:lpwstr>
  </property>
</Properties>
</file>