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D69D9">
      <w:pPr>
        <w:spacing w:before="200" w:after="200" w:line="480" w:lineRule="auto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徐医大附三院</w:t>
      </w:r>
      <w:r>
        <w:rPr>
          <w:rFonts w:ascii="黑体" w:hAnsi="黑体" w:eastAsia="黑体"/>
          <w:b/>
          <w:bCs/>
          <w:sz w:val="36"/>
          <w:szCs w:val="36"/>
        </w:rPr>
        <w:t>污水站在线监测设备第三方运维服务</w:t>
      </w:r>
    </w:p>
    <w:p w14:paraId="150D3CCC">
      <w:pPr>
        <w:spacing w:before="200" w:after="200" w:line="480" w:lineRule="auto"/>
        <w:jc w:val="center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基础要求</w:t>
      </w:r>
    </w:p>
    <w:p w14:paraId="641468C6">
      <w:pPr>
        <w:spacing w:before="200" w:after="120" w:line="400" w:lineRule="auto"/>
        <w:jc w:val="left"/>
      </w:pPr>
      <w:r>
        <w:rPr>
          <w:rFonts w:ascii="黑体" w:hAnsi="黑体" w:eastAsia="黑体"/>
          <w:b/>
          <w:bCs/>
          <w:sz w:val="32"/>
          <w:szCs w:val="32"/>
        </w:rPr>
        <w:t>一、项目概况</w:t>
      </w:r>
    </w:p>
    <w:p w14:paraId="7AC0E1C3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项目名称：污水站在线监测设备第三方运维服务项目</w:t>
      </w:r>
    </w:p>
    <w:p w14:paraId="646906B9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运维内容：氨氮、COD、pH、悬浮物在线检测仪器的日常维护、故障处理、数据校准等</w:t>
      </w:r>
    </w:p>
    <w:p w14:paraId="04F7A4F3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运维周期：3年（具体起始时间以招标人通知为准）</w:t>
      </w:r>
    </w:p>
    <w:p w14:paraId="65794882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最高限价：16万元</w:t>
      </w:r>
    </w:p>
    <w:p w14:paraId="23DE7268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服务模式：委托第三方专业化运维服务，包工包料（含耗材及试剂）</w:t>
      </w:r>
    </w:p>
    <w:p w14:paraId="460A7FE0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运维标准：需符合国家《污染源自动监控设施运行维护技术规范》及地方环保部门监管要求</w:t>
      </w:r>
    </w:p>
    <w:p w14:paraId="761CB68B">
      <w:pPr>
        <w:spacing w:line="240" w:lineRule="auto"/>
      </w:pPr>
    </w:p>
    <w:p w14:paraId="1C9054F4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【服务内容补充说明】污水在线监测全套设备包括：COD、氨氮、pH、悬浮物、数采仪、超声波流量计；服务含日常运维、校准、耗材更换、故障抢修、数据上传保障、台账归档等。</w:t>
      </w:r>
    </w:p>
    <w:p w14:paraId="5496E34F">
      <w:pPr>
        <w:spacing w:before="200" w:after="120" w:line="400" w:lineRule="auto"/>
        <w:jc w:val="left"/>
      </w:pPr>
      <w:r>
        <w:rPr>
          <w:rFonts w:ascii="黑体" w:hAnsi="黑体" w:eastAsia="黑体"/>
          <w:b/>
          <w:bCs/>
          <w:sz w:val="32"/>
          <w:szCs w:val="32"/>
        </w:rPr>
        <w:t>二、运维设备清单及技术要求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00"/>
        <w:gridCol w:w="2400"/>
        <w:gridCol w:w="5426"/>
      </w:tblGrid>
      <w:tr w14:paraId="105FF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1FF203">
            <w:pPr>
              <w:spacing w:line="360" w:lineRule="auto"/>
              <w:jc w:val="center"/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C833D7">
            <w:pPr>
              <w:spacing w:line="360" w:lineRule="auto"/>
              <w:jc w:val="center"/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运维设备名称</w:t>
            </w:r>
          </w:p>
        </w:tc>
        <w:tc>
          <w:tcPr>
            <w:tcW w:w="54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7A8BEC">
            <w:pPr>
              <w:spacing w:line="360" w:lineRule="auto"/>
              <w:jc w:val="center"/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技术要求概述</w:t>
            </w:r>
          </w:p>
        </w:tc>
      </w:tr>
      <w:tr w14:paraId="14DEE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22E765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7E3AF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pH自动检测仪</w:t>
            </w:r>
          </w:p>
        </w:tc>
        <w:tc>
          <w:tcPr>
            <w:tcW w:w="54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B1BA38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测量范围0-14pH，温度补偿-10~130℃，精度±0.2pH</w:t>
            </w:r>
          </w:p>
        </w:tc>
      </w:tr>
      <w:tr w14:paraId="5F220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0D3867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9139B2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COD水质在线自动监测仪</w:t>
            </w:r>
          </w:p>
        </w:tc>
        <w:tc>
          <w:tcPr>
            <w:tcW w:w="54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DB92AD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重铬酸钾高温消解-分光光度法，量程15-10000mg/L</w:t>
            </w:r>
          </w:p>
        </w:tc>
      </w:tr>
      <w:tr w14:paraId="4954D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ADA6F9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27F74D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氨氮水质在线自动监测仪</w:t>
            </w:r>
          </w:p>
        </w:tc>
        <w:tc>
          <w:tcPr>
            <w:tcW w:w="54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9B811A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水杨酸分光光度法/纳氏试剂法，量程0.05-1500mg/L</w:t>
            </w:r>
          </w:p>
        </w:tc>
      </w:tr>
      <w:tr w14:paraId="6990B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2FA3C1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06B71E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悬浮物在线自动监测仪</w:t>
            </w:r>
          </w:p>
        </w:tc>
        <w:tc>
          <w:tcPr>
            <w:tcW w:w="54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6E0C2D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红外散射光法（ISO7027），量程0-4000mg/L</w:t>
            </w:r>
          </w:p>
        </w:tc>
      </w:tr>
      <w:tr w14:paraId="1BF45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01461E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611B46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数采仪</w:t>
            </w:r>
          </w:p>
        </w:tc>
        <w:tc>
          <w:tcPr>
            <w:tcW w:w="54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3C5487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支持多协议数据采集与上传，符合环保数采标准</w:t>
            </w:r>
          </w:p>
        </w:tc>
      </w:tr>
      <w:tr w14:paraId="08C93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7E3722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3A1CFF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超声波流量计</w:t>
            </w:r>
          </w:p>
        </w:tc>
        <w:tc>
          <w:tcPr>
            <w:tcW w:w="54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56FFE3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非接触式测量，精度±1%，适配医院污水排放管道</w:t>
            </w:r>
          </w:p>
        </w:tc>
      </w:tr>
    </w:tbl>
    <w:p w14:paraId="6437D748">
      <w:pPr>
        <w:spacing w:line="240" w:lineRule="auto"/>
      </w:pPr>
    </w:p>
    <w:p w14:paraId="03B02D0E">
      <w:pPr>
        <w:spacing w:before="120" w:after="60" w:line="360" w:lineRule="auto"/>
        <w:jc w:val="left"/>
      </w:pPr>
      <w:r>
        <w:rPr>
          <w:rFonts w:ascii="仿宋" w:hAnsi="仿宋" w:eastAsia="仿宋"/>
          <w:b/>
          <w:bCs/>
          <w:sz w:val="24"/>
          <w:szCs w:val="24"/>
        </w:rPr>
        <w:t>1、氨氮在线分析仪</w:t>
      </w:r>
    </w:p>
    <w:p w14:paraId="2841ED6F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测量方法：水杨酸分光光度法或纳氏试剂法（需符合国家标准HJ 536-2009）</w:t>
      </w:r>
    </w:p>
    <w:p w14:paraId="174D08B6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量程范围：0.05-1500mg/L（可根据实际水质调整）</w:t>
      </w:r>
    </w:p>
    <w:p w14:paraId="69B72744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精度要求：≤±5%FS，重复性≤±3%</w:t>
      </w:r>
    </w:p>
    <w:p w14:paraId="146A5C32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运维要求：每周至少1次现场巡检，检查试剂余量、管路清洁度及数据稳定性；每月进行1次标准样品比对，误差控制在±10%以内；每季度完成1次全系统校准，确保数据传输准确。</w:t>
      </w:r>
    </w:p>
    <w:p w14:paraId="7FC9AFEC">
      <w:pPr>
        <w:spacing w:before="120" w:after="60" w:line="360" w:lineRule="auto"/>
        <w:jc w:val="left"/>
      </w:pPr>
      <w:r>
        <w:rPr>
          <w:rFonts w:ascii="仿宋" w:hAnsi="仿宋" w:eastAsia="仿宋"/>
          <w:b/>
          <w:bCs/>
          <w:sz w:val="24"/>
          <w:szCs w:val="24"/>
        </w:rPr>
        <w:t>2、COD在线检测仪</w:t>
      </w:r>
    </w:p>
    <w:p w14:paraId="13338692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测量方法：重铬酸钾高温消解-分光光度法（符合HJ 377-2019标准）</w:t>
      </w:r>
    </w:p>
    <w:p w14:paraId="0337240C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量程范围：15-10000mg/L（可扩展），支持自动量程切换</w:t>
      </w:r>
    </w:p>
    <w:p w14:paraId="5CBCF260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精度要求：示值误差≤±10%，重复性≤±5%</w:t>
      </w:r>
    </w:p>
    <w:p w14:paraId="58845C63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运维要求：每周检查消解单元、试剂泵管及阀件状态，及时更换耗材；每月进行1次标样核查与加标回收试验，回收率控制在90%-110%；每半年清理一次光学部件，防止浊度干扰。</w:t>
      </w:r>
    </w:p>
    <w:p w14:paraId="5B651E76">
      <w:pPr>
        <w:spacing w:before="120" w:after="60" w:line="360" w:lineRule="auto"/>
        <w:jc w:val="left"/>
      </w:pPr>
      <w:r>
        <w:rPr>
          <w:rFonts w:ascii="仿宋" w:hAnsi="仿宋" w:eastAsia="仿宋"/>
          <w:b/>
          <w:bCs/>
          <w:sz w:val="24"/>
          <w:szCs w:val="24"/>
        </w:rPr>
        <w:t>3、pH在线检测仪</w:t>
      </w:r>
    </w:p>
    <w:p w14:paraId="16B37EC0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测量范围：0-14pH，支持温度自动补偿（-10-130℃）</w:t>
      </w:r>
    </w:p>
    <w:p w14:paraId="6204AAAB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精度要求：±0.2pH，稳定性≤0.1pH/24h</w:t>
      </w:r>
    </w:p>
    <w:p w14:paraId="4F2F324C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运维要求：每周进行电极清洗与校准，使用4.00/7.00/10.01标准缓冲液；每月检查电极损耗情况，及时更换老化电极；保证接地良好，避免电磁干扰。</w:t>
      </w:r>
    </w:p>
    <w:p w14:paraId="3E5488E9">
      <w:pPr>
        <w:spacing w:before="120" w:after="60" w:line="360" w:lineRule="auto"/>
        <w:jc w:val="left"/>
      </w:pPr>
      <w:r>
        <w:rPr>
          <w:rFonts w:ascii="仿宋" w:hAnsi="仿宋" w:eastAsia="仿宋"/>
          <w:b/>
          <w:bCs/>
          <w:sz w:val="24"/>
          <w:szCs w:val="24"/>
        </w:rPr>
        <w:t>4、悬浮物在线检测仪</w:t>
      </w:r>
    </w:p>
    <w:p w14:paraId="124BD685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测量原理：红外散射光法（符合ISO 7027标准）</w:t>
      </w:r>
    </w:p>
    <w:p w14:paraId="4F2C51F1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量程范围：0-4000mg/L（可扩展至25000mg/L）</w:t>
      </w:r>
    </w:p>
    <w:p w14:paraId="1FA95BF9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精度要求：±5%，重复性±3%</w:t>
      </w:r>
    </w:p>
    <w:p w14:paraId="4C1D69D1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运维要求：每周清洁光学窗口，启用自动刷洗功能防污垢附着；每月进行零点/量程漂移测试，偏差超过5%需立即校准；每季度检查传感器灵敏度，确保无气泡干扰。</w:t>
      </w:r>
    </w:p>
    <w:p w14:paraId="3E011D1F">
      <w:pPr>
        <w:spacing w:before="120" w:after="60" w:line="360" w:lineRule="auto"/>
        <w:jc w:val="left"/>
      </w:pPr>
      <w:r>
        <w:rPr>
          <w:rFonts w:ascii="仿宋" w:hAnsi="仿宋" w:eastAsia="仿宋"/>
          <w:b/>
          <w:bCs/>
          <w:sz w:val="24"/>
          <w:szCs w:val="24"/>
        </w:rPr>
        <w:t>5、数采仪</w:t>
      </w:r>
    </w:p>
    <w:p w14:paraId="2A8CD1AE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功能要求：支持RS232/RS485/以太网等多种通讯接口，兼容HJ 212-2017数据传输标准</w:t>
      </w:r>
    </w:p>
    <w:p w14:paraId="4E538415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运维要求：每日每小时采集并上传一份水样数据，确保数据连续、准确；定期备份数据，保障通信链路畅通；故障响应时间不超过2小时。</w:t>
      </w:r>
    </w:p>
    <w:p w14:paraId="754D106C">
      <w:pPr>
        <w:spacing w:before="120" w:after="60" w:line="360" w:lineRule="auto"/>
        <w:jc w:val="left"/>
      </w:pPr>
      <w:r>
        <w:rPr>
          <w:rFonts w:ascii="仿宋" w:hAnsi="仿宋" w:eastAsia="仿宋"/>
          <w:b/>
          <w:bCs/>
          <w:sz w:val="24"/>
          <w:szCs w:val="24"/>
        </w:rPr>
        <w:t>6、超声波流量计</w:t>
      </w:r>
    </w:p>
    <w:p w14:paraId="1AFAFF04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测量原理：时差法超声波测量，非接触式安装</w:t>
      </w:r>
    </w:p>
    <w:p w14:paraId="524087E5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精度要求：±1%读数，重复性±0.5%</w:t>
      </w:r>
    </w:p>
    <w:p w14:paraId="601D684D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运维要求：定期检查传感器安装牢固度与耦合剂状态，确保测量信号稳定；每月进行1次零点校准；配合数采仪实现流量数据实时上传。</w:t>
      </w:r>
    </w:p>
    <w:p w14:paraId="39170B85">
      <w:pPr>
        <w:spacing w:before="200" w:after="120" w:line="400" w:lineRule="auto"/>
        <w:jc w:val="left"/>
      </w:pPr>
      <w:r>
        <w:rPr>
          <w:rFonts w:ascii="黑体" w:hAnsi="黑体" w:eastAsia="黑体"/>
          <w:b/>
          <w:bCs/>
          <w:sz w:val="32"/>
          <w:szCs w:val="32"/>
        </w:rPr>
        <w:t>三、运维服务内容与标准</w:t>
      </w:r>
    </w:p>
    <w:p w14:paraId="69CBA9FB">
      <w:pPr>
        <w:spacing w:before="120" w:after="60" w:line="360" w:lineRule="auto"/>
        <w:jc w:val="left"/>
      </w:pPr>
      <w:r>
        <w:rPr>
          <w:rFonts w:ascii="仿宋" w:hAnsi="仿宋" w:eastAsia="仿宋"/>
          <w:b/>
          <w:bCs/>
          <w:sz w:val="24"/>
          <w:szCs w:val="24"/>
        </w:rPr>
        <w:t>1、日常运维工作</w:t>
      </w:r>
    </w:p>
    <w:p w14:paraId="427C2C60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每日每小时提供一份水样数据，确保数据连续、准确；</w:t>
      </w:r>
    </w:p>
    <w:p w14:paraId="30A4AD37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定期巡检：每周至少1次现场检查，覆盖设备运行状态、试剂存量、管路泄漏等；</w:t>
      </w:r>
    </w:p>
    <w:p w14:paraId="5E36C2CF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数据管理：每日监控平台数据传输有效性，确保数据有效率≥90%；</w:t>
      </w:r>
    </w:p>
    <w:p w14:paraId="369149E7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台账记录：提供电子及纸质运维记录，包括巡检报告、校准数据、故障处理日志等；</w:t>
      </w:r>
    </w:p>
    <w:p w14:paraId="5FFE339F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建立运维台账，定期提交运维报告；</w:t>
      </w:r>
    </w:p>
    <w:p w14:paraId="2B8EC58E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提供所需全部试剂（包括标准物质及试剂A/B/C等）；</w:t>
      </w:r>
    </w:p>
    <w:p w14:paraId="3A1A405F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运维服务包含试剂、维修、人工、运输、税费等所有费用。</w:t>
      </w:r>
    </w:p>
    <w:p w14:paraId="134B3F42">
      <w:pPr>
        <w:spacing w:before="120" w:after="60" w:line="360" w:lineRule="auto"/>
        <w:jc w:val="left"/>
      </w:pPr>
      <w:r>
        <w:rPr>
          <w:rFonts w:ascii="仿宋" w:hAnsi="仿宋" w:eastAsia="仿宋"/>
          <w:b/>
          <w:bCs/>
          <w:sz w:val="24"/>
          <w:szCs w:val="24"/>
        </w:rPr>
        <w:t>2、故障响应与处理</w:t>
      </w:r>
    </w:p>
    <w:p w14:paraId="1835A8AA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响应时间：≤2小时（线上响应），≤4小时（人员到场）；</w:t>
      </w:r>
    </w:p>
    <w:p w14:paraId="7EAC07D4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一般故障修复：≤6小时，重大故障需24小时内提交处理方案；</w:t>
      </w:r>
    </w:p>
    <w:p w14:paraId="5E9F2F6B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备品备件：投标人需提供常用备件清单（如泵管、电极、传感器等），确保快速更换。</w:t>
      </w:r>
    </w:p>
    <w:p w14:paraId="006883C6">
      <w:pPr>
        <w:spacing w:before="120" w:after="60" w:line="360" w:lineRule="auto"/>
        <w:jc w:val="left"/>
      </w:pPr>
      <w:r>
        <w:rPr>
          <w:rFonts w:ascii="仿宋" w:hAnsi="仿宋" w:eastAsia="仿宋"/>
          <w:b/>
          <w:bCs/>
          <w:sz w:val="24"/>
          <w:szCs w:val="24"/>
        </w:rPr>
        <w:t>3、质量控制要求</w:t>
      </w:r>
    </w:p>
    <w:p w14:paraId="77CDA5FA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数据比对：每月开展第三方手工比对，相对误差≤15%；</w:t>
      </w:r>
    </w:p>
    <w:p w14:paraId="2E2B0293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设备正常运行率：≥95%（考核依据：环保平台有效数据量）；</w:t>
      </w:r>
    </w:p>
    <w:p w14:paraId="3915A1A8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废液处理：规范收集检测废液，存放</w:t>
      </w:r>
      <w:r>
        <w:rPr>
          <w:rFonts w:hint="eastAsia"/>
          <w:sz w:val="24"/>
          <w:szCs w:val="24"/>
          <w:lang w:val="en-US" w:eastAsia="zh-CN"/>
        </w:rPr>
        <w:t>院</w:t>
      </w:r>
      <w:r>
        <w:rPr>
          <w:rFonts w:ascii="仿宋" w:hAnsi="仿宋" w:eastAsia="仿宋"/>
          <w:sz w:val="24"/>
          <w:szCs w:val="24"/>
        </w:rPr>
        <w:t>方指定处，由</w:t>
      </w:r>
      <w:r>
        <w:rPr>
          <w:rFonts w:hint="eastAsia"/>
          <w:sz w:val="24"/>
          <w:szCs w:val="24"/>
          <w:lang w:val="en-US" w:eastAsia="zh-CN"/>
        </w:rPr>
        <w:t>院</w:t>
      </w:r>
      <w:bookmarkStart w:id="0" w:name="_GoBack"/>
      <w:bookmarkEnd w:id="0"/>
      <w:r>
        <w:rPr>
          <w:rFonts w:ascii="仿宋" w:hAnsi="仿宋" w:eastAsia="仿宋"/>
          <w:sz w:val="24"/>
          <w:szCs w:val="24"/>
        </w:rPr>
        <w:t>方委托有资质单位处置。</w:t>
      </w:r>
    </w:p>
    <w:p w14:paraId="03011C1F">
      <w:pPr>
        <w:spacing w:before="120" w:after="60" w:line="360" w:lineRule="auto"/>
        <w:jc w:val="left"/>
      </w:pPr>
      <w:r>
        <w:rPr>
          <w:rFonts w:ascii="仿宋" w:hAnsi="仿宋" w:eastAsia="仿宋"/>
          <w:b/>
          <w:bCs/>
          <w:sz w:val="24"/>
          <w:szCs w:val="24"/>
        </w:rPr>
        <w:t>4、场地及配套服务</w:t>
      </w:r>
    </w:p>
    <w:p w14:paraId="1E20F37F">
      <w:pPr>
        <w:spacing w:before="0" w:after="0" w:line="360" w:lineRule="auto"/>
        <w:ind w:left="480" w:firstLine="0"/>
        <w:jc w:val="both"/>
      </w:pPr>
      <w:r>
        <w:rPr>
          <w:rFonts w:hint="eastAsia" w:ascii="仿宋" w:hAnsi="仿宋" w:eastAsia="仿宋"/>
          <w:sz w:val="24"/>
          <w:szCs w:val="24"/>
        </w:rPr>
        <w:t>供应商必需在院方污水站屋内提供并安装壁挂式空调（1.5匹）一台（该资产归院方所有）。此设备包含在预算内。</w:t>
      </w:r>
      <w:r>
        <w:rPr>
          <w:rFonts w:hint="eastAsia"/>
          <w:sz w:val="24"/>
          <w:szCs w:val="24"/>
          <w:lang w:val="en-US" w:eastAsia="zh-CN"/>
        </w:rPr>
        <w:t>同时要做好</w:t>
      </w:r>
      <w:r>
        <w:rPr>
          <w:rFonts w:ascii="仿宋" w:hAnsi="仿宋" w:eastAsia="仿宋"/>
          <w:sz w:val="24"/>
          <w:szCs w:val="24"/>
        </w:rPr>
        <w:t>场地规整等服务；</w:t>
      </w:r>
    </w:p>
    <w:p w14:paraId="3FC71525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供应商可自行踏勘现场，结合医院污水在线监测设备现状制定运维方案及报价。</w:t>
      </w:r>
    </w:p>
    <w:p w14:paraId="53A98EFD">
      <w:pPr>
        <w:spacing w:before="200" w:after="120" w:line="400" w:lineRule="auto"/>
        <w:jc w:val="left"/>
      </w:pP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四</w:t>
      </w:r>
      <w:r>
        <w:rPr>
          <w:rFonts w:ascii="黑体" w:hAnsi="黑体" w:eastAsia="黑体"/>
          <w:b/>
          <w:bCs/>
          <w:sz w:val="32"/>
          <w:szCs w:val="32"/>
        </w:rPr>
        <w:t>、附则</w:t>
      </w:r>
    </w:p>
    <w:p w14:paraId="670E5BA2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投标人需提供详细的《运维实施方案》，包括人员安排、巡检路线、质量保证措施等；</w:t>
      </w:r>
    </w:p>
    <w:p w14:paraId="4064E192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运维期间因数据缺失或失真导致的环保处罚，由运维方承担相应责任；</w:t>
      </w:r>
    </w:p>
    <w:p w14:paraId="1525728D">
      <w:pPr>
        <w:spacing w:before="0" w:after="0" w:line="360" w:lineRule="auto"/>
        <w:ind w:left="480" w:firstLine="0"/>
        <w:jc w:val="both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本项目解释权归招标人所有，未尽事宜参照国家最新技术规范执行。</w:t>
      </w:r>
    </w:p>
    <w:p w14:paraId="2F0E0819">
      <w:pPr>
        <w:spacing w:before="0" w:after="0" w:line="360" w:lineRule="auto"/>
        <w:ind w:left="480" w:firstLine="0"/>
        <w:jc w:val="both"/>
        <w:rPr>
          <w:rFonts w:ascii="仿宋" w:hAnsi="仿宋" w:eastAsia="仿宋"/>
          <w:sz w:val="24"/>
          <w:szCs w:val="24"/>
        </w:rPr>
      </w:pPr>
    </w:p>
    <w:p w14:paraId="2C750829">
      <w:pPr>
        <w:spacing w:before="0" w:after="0" w:line="360" w:lineRule="auto"/>
        <w:ind w:left="480" w:firstLine="0"/>
        <w:jc w:val="right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2026年8月4日</w:t>
      </w:r>
    </w:p>
    <w:p w14:paraId="055343F5">
      <w:pPr>
        <w:pageBreakBefore/>
        <w:spacing w:line="240" w:lineRule="auto"/>
      </w:pPr>
    </w:p>
    <w:p w14:paraId="5D67E2DF">
      <w:pPr>
        <w:spacing w:before="200" w:after="120" w:line="400" w:lineRule="auto"/>
        <w:jc w:val="left"/>
      </w:pPr>
      <w:r>
        <w:rPr>
          <w:rFonts w:ascii="黑体" w:hAnsi="黑体" w:eastAsia="黑体"/>
          <w:b/>
          <w:bCs/>
          <w:sz w:val="32"/>
          <w:szCs w:val="32"/>
        </w:rPr>
        <w:t>附录：运维设备清单汇总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0"/>
        <w:gridCol w:w="7526"/>
      </w:tblGrid>
      <w:tr w14:paraId="645B7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A04C0C">
            <w:pPr>
              <w:spacing w:line="360" w:lineRule="auto"/>
              <w:jc w:val="center"/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75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A08BE0">
            <w:pPr>
              <w:spacing w:line="360" w:lineRule="auto"/>
              <w:jc w:val="center"/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运维设备名称</w:t>
            </w:r>
          </w:p>
        </w:tc>
      </w:tr>
      <w:tr w14:paraId="6DAAD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342AE6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75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7B9DE6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pH自动检测仪</w:t>
            </w:r>
          </w:p>
        </w:tc>
      </w:tr>
      <w:tr w14:paraId="1A54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148648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75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EF8D8F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COD水质在线自动监测仪</w:t>
            </w:r>
          </w:p>
        </w:tc>
      </w:tr>
      <w:tr w14:paraId="389F5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5A3F3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75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CA5269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氨氮水质在线自动监测仪</w:t>
            </w:r>
          </w:p>
        </w:tc>
      </w:tr>
      <w:tr w14:paraId="35B89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F06EFB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75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179C2E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悬浮物在线自动监测仪</w:t>
            </w:r>
          </w:p>
        </w:tc>
      </w:tr>
      <w:tr w14:paraId="04AE1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624C65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75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D32683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数采仪</w:t>
            </w:r>
          </w:p>
        </w:tc>
      </w:tr>
      <w:tr w14:paraId="2949E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B9819E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75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EDBC84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超声波流量计</w:t>
            </w:r>
          </w:p>
        </w:tc>
      </w:tr>
    </w:tbl>
    <w:p w14:paraId="2AF3F5A7"/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3DEDC">
    <w:pPr>
      <w:jc w:val="center"/>
    </w:pPr>
    <w:r>
      <w:rPr>
        <w:rFonts w:ascii="宋体" w:hAnsi="宋体" w:eastAsia="宋体" w:cs="宋体"/>
        <w:sz w:val="18"/>
        <w:szCs w:val="18"/>
      </w:rPr>
      <w:t xml:space="preserve">第 </w:t>
    </w:r>
    <w:r>
      <w:rPr>
        <w:rFonts w:ascii="宋体" w:hAnsi="宋体" w:eastAsia="宋体" w:cs="宋体"/>
        <w:sz w:val="18"/>
        <w:szCs w:val="18"/>
      </w:rPr>
      <w:fldChar w:fldCharType="begin"/>
    </w:r>
    <w:r>
      <w:rPr>
        <w:rFonts w:ascii="宋体" w:hAnsi="宋体" w:eastAsia="宋体" w:cs="宋体"/>
        <w:sz w:val="18"/>
        <w:szCs w:val="18"/>
      </w:rPr>
      <w:instrText xml:space="preserve">PAGE</w:instrText>
    </w:r>
    <w:r>
      <w:rPr>
        <w:rFonts w:ascii="宋体" w:hAnsi="宋体" w:eastAsia="宋体" w:cs="宋体"/>
        <w:sz w:val="18"/>
        <w:szCs w:val="18"/>
      </w:rPr>
      <w:fldChar w:fldCharType="separate"/>
    </w:r>
    <w:r>
      <w:rPr>
        <w:rFonts w:ascii="宋体" w:hAnsi="宋体" w:eastAsia="宋体" w:cs="宋体"/>
        <w:sz w:val="18"/>
        <w:szCs w:val="18"/>
      </w:rPr>
      <w:fldChar w:fldCharType="end"/>
    </w:r>
    <w:r>
      <w:rPr>
        <w:rFonts w:ascii="宋体" w:hAnsi="宋体" w:eastAsia="宋体" w:cs="宋体"/>
        <w:sz w:val="18"/>
        <w:szCs w:val="18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6F1E4A">
    <w:pPr>
      <w:pBdr>
        <w:bottom w:val="single" w:color="AAAAAA" w:sz="4" w:space="4"/>
      </w:pBdr>
      <w:spacing w:after="0"/>
      <w:jc w:val="center"/>
    </w:pPr>
    <w:r>
      <w:rPr>
        <w:rFonts w:ascii="宋体" w:hAnsi="宋体" w:eastAsia="宋体"/>
        <w:color w:val="888888"/>
        <w:sz w:val="18"/>
        <w:szCs w:val="18"/>
      </w:rPr>
      <w:t>污水站在线监测设备第三方运维服务项目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1C46335"/>
    <w:rsid w:val="0FA94C21"/>
    <w:rsid w:val="1AC27A2C"/>
    <w:rsid w:val="1D7410CA"/>
    <w:rsid w:val="27174C54"/>
    <w:rsid w:val="4A872FDD"/>
    <w:rsid w:val="4F530D5B"/>
    <w:rsid w:val="50FE0AB7"/>
    <w:rsid w:val="56A8574D"/>
    <w:rsid w:val="665B4BFD"/>
    <w:rsid w:val="6CC14D10"/>
    <w:rsid w:val="7F9E0B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="仿宋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仿宋"/>
      <w:sz w:val="24"/>
      <w:szCs w:val="24"/>
    </w:rPr>
  </w:style>
  <w:style w:type="paragraph" w:styleId="2">
    <w:name w:val="heading 1"/>
    <w:next w:val="1"/>
    <w:qFormat/>
    <w:uiPriority w:val="0"/>
    <w:rPr>
      <w:rFonts w:ascii="仿宋" w:hAnsi="仿宋" w:eastAsia="仿宋" w:cs="仿宋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仿宋" w:hAnsi="仿宋" w:eastAsia="仿宋" w:cs="仿宋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仿宋" w:hAnsi="仿宋" w:eastAsia="仿宋" w:cs="仿宋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仿宋" w:hAnsi="仿宋" w:eastAsia="仿宋" w:cs="仿宋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仿宋" w:hAnsi="仿宋" w:eastAsia="仿宋" w:cs="仿宋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仿宋" w:hAnsi="仿宋" w:eastAsia="仿宋" w:cs="仿宋"/>
      <w:color w:val="1F4D78"/>
      <w:sz w:val="24"/>
      <w:szCs w:val="2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10">
    <w:name w:val="Title"/>
    <w:qFormat/>
    <w:uiPriority w:val="0"/>
    <w:rPr>
      <w:rFonts w:ascii="仿宋" w:hAnsi="仿宋" w:eastAsia="仿宋" w:cs="仿宋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仿宋" w:hAnsi="仿宋" w:eastAsia="仿宋" w:cs="仿宋"/>
      <w:sz w:val="24"/>
      <w:szCs w:val="24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1879</Words>
  <Characters>2105</Characters>
  <TotalTime>25</TotalTime>
  <ScaleCrop>false</ScaleCrop>
  <LinksUpToDate>false</LinksUpToDate>
  <CharactersWithSpaces>2109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2026-07-28T02:43:00Z</dcterms:created>
  <dc:creator>Un-named</dc:creator>
  <cp:lastModifiedBy>龙兴之地出云龙</cp:lastModifiedBy>
  <dcterms:modified xsi:type="dcterms:W3CDTF">2026-08-04T08:22:09Z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{"Label":"1","ContentProducer":"001191440300708461136T1WFUO","ProduceID":"9d8c47393819a3e571a7824f3b300ff2-23FP","ReservedCode1":"{\"Type\":\" TC260PG\",\"Version\":1,\"Bindings\":[{\"Type\":\"soft\",\"AlgID\":\"sm3\",\"Value\":\"fba66ae3b7289679f36f2b912d1c82df450bb896aadbe67703d37554db289a31\"},{\"Type\":\"hash\",\"AlgID\":\"sm3\",\"Value\":\"b93780b981b0633e0427e799f84ab9df5567940af9a09ab4825ed48e6fda6245\"}],\"PubSD\":[{\"Type\":\"DS\",\"AlgID\":\"sm2\",\"TBSData\":{\"Type\":\"Binding\",\"BType\":\"hash\"},\"Signature\":\"304602210092a99a7f4b575185f391a5d468026d14629a1c06ce6f19729f7dfb8ffec8d8f5022100a80573025a367d18964377cad8532ac3bde5e037cb363fc918f02c46f87e763c\"},{\"Type\":\"PubKey\",\"AlgID\":\"sm2\",\"KeyValue\":\"0407f79b28a17a752b3aae4305c98b48978213832729a2571850b1310b2bc9fe8fee039ccf25ebfeac27502414d9fcef792d777183c98893d226171c2f7a3289a2\"}],\"Extension\":{\"Timestamp\":1785206645,\"KeyVersion\":\"v1-TxLeOmf7bqU223\"}}","ContentPropagator":"001191440300708461136T1WFUO","PropagateID":"9d8c47393819a3e571a7824f3b300ff2-23FP","ReservedCode2":"{\"Type\":\" TC260PG\",\"Version\":1,\"Bindings\":[{\"Type\":\"soft\",\"AlgID\":\"sm3\",\"Value\":\"fba66ae3b7289679f36f2b912d1c82df450bb896aadbe67703d37554db289a31\"},{\"Type\":\"hash\",\"AlgID\":\"sm3\",\"Value\":\"b93780b981b0633e0427e799f84ab9df5567940af9a09ab4825ed48e6fda6245\"}],\"PubSD\":[{\"Type\":\"DS\",\"AlgID\":\"sm2\",\"TBSData\":{\"Type\":\"Binding\",\"BType\":\"hash\"},\"Signature\":\"3044022050261c01e0ebb70a03af8c52cdba636f209779c254f60ba26c32b5868f51ec3c02202a67d9d10d98cdc9704b1a4e6aca2758f2e778f3c08e4cb62598aa3e80fae9c4\"},{\"Type\":\"PubKey\",\"AlgID\":\"sm2\",\"KeyValue\":\"0407f79b28a17a752b3aae4305c98b48978213832729a2571850b1310b2bc9fe8fee039ccf25ebfeac27502414d9fcef792d777183c98893d226171c2f7a3289a2\"}],\"Extension\":{\"Timestamp\":1785206645,\"KeyVersion\":\"v1-TxLeOmf7bqU223\"}}"}</vt:lpwstr>
  </property>
  <property fmtid="{D5CDD505-2E9C-101B-9397-08002B2CF9AE}" pid="3" name="KSOTemplateDocerSaveRecord">
    <vt:lpwstr>eyJoZGlkIjoiMjQ3Njg3ODFhZmMyYWM1MjM2Zjc3ZTkzZjlmZmRhMGMiLCJ1c2VySWQiOiIzNTgzMDI3NDYifQ==</vt:lpwstr>
  </property>
  <property fmtid="{D5CDD505-2E9C-101B-9397-08002B2CF9AE}" pid="4" name="KSOProductBuildVer">
    <vt:lpwstr>2052-12.1.0.19770</vt:lpwstr>
  </property>
  <property fmtid="{D5CDD505-2E9C-101B-9397-08002B2CF9AE}" pid="5" name="ICV">
    <vt:lpwstr>049C85199AF44A31B011129CCBF106DB_13</vt:lpwstr>
  </property>
</Properties>
</file>